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FEFD0" w14:textId="77777777" w:rsidR="00A53502" w:rsidRDefault="00352830">
      <w:pPr>
        <w:tabs>
          <w:tab w:val="left" w:pos="7665"/>
        </w:tabs>
        <w:jc w:val="center"/>
        <w:rPr>
          <w:rFonts w:ascii="Calibri" w:eastAsia="Calibri" w:hAnsi="Calibri" w:cs="Calibri"/>
          <w:sz w:val="28"/>
          <w:szCs w:val="28"/>
        </w:rPr>
      </w:pPr>
      <w:r>
        <w:rPr>
          <w:rFonts w:ascii="Calibri" w:eastAsia="Calibri" w:hAnsi="Calibri" w:cs="Calibri"/>
          <w:sz w:val="28"/>
          <w:szCs w:val="28"/>
        </w:rPr>
        <w:t>FEDERAL MINISTRY OF HEALTH</w:t>
      </w:r>
    </w:p>
    <w:p w14:paraId="062FDABA" w14:textId="77777777" w:rsidR="00A53502" w:rsidRDefault="00A53502">
      <w:pPr>
        <w:jc w:val="center"/>
      </w:pPr>
    </w:p>
    <w:p w14:paraId="74E6D514" w14:textId="77777777" w:rsidR="00A53502" w:rsidRDefault="00352830">
      <w:pPr>
        <w:jc w:val="center"/>
      </w:pPr>
      <w:r>
        <w:t>NATIONAL MALARIA ELIMINATION PROGRAMME</w:t>
      </w:r>
    </w:p>
    <w:p w14:paraId="5689535B" w14:textId="77777777" w:rsidR="00A53502" w:rsidRDefault="00352830">
      <w:pPr>
        <w:tabs>
          <w:tab w:val="left" w:pos="7665"/>
        </w:tabs>
        <w:jc w:val="center"/>
        <w:rPr>
          <w:rFonts w:ascii="Calibri" w:eastAsia="Calibri" w:hAnsi="Calibri" w:cs="Calibri"/>
          <w:b/>
          <w:sz w:val="36"/>
          <w:szCs w:val="36"/>
        </w:rPr>
      </w:pPr>
      <w:r>
        <w:rPr>
          <w:noProof/>
        </w:rPr>
        <w:drawing>
          <wp:inline distT="0" distB="0" distL="0" distR="0" wp14:anchorId="0447565C" wp14:editId="3FC8A744">
            <wp:extent cx="1288193" cy="128915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288193" cy="1289155"/>
                    </a:xfrm>
                    <a:prstGeom prst="rect">
                      <a:avLst/>
                    </a:prstGeom>
                    <a:ln/>
                  </pic:spPr>
                </pic:pic>
              </a:graphicData>
            </a:graphic>
          </wp:inline>
        </w:drawing>
      </w:r>
    </w:p>
    <w:p w14:paraId="6D4FA3E5" w14:textId="77777777" w:rsidR="00A53502" w:rsidRDefault="00A53502">
      <w:pPr>
        <w:tabs>
          <w:tab w:val="left" w:pos="7665"/>
        </w:tabs>
        <w:jc w:val="center"/>
        <w:rPr>
          <w:rFonts w:ascii="Calibri" w:eastAsia="Calibri" w:hAnsi="Calibri" w:cs="Calibri"/>
          <w:b/>
          <w:sz w:val="36"/>
          <w:szCs w:val="36"/>
        </w:rPr>
      </w:pPr>
    </w:p>
    <w:p w14:paraId="234F803B" w14:textId="77777777" w:rsidR="00A53502" w:rsidRDefault="00A53502">
      <w:pPr>
        <w:tabs>
          <w:tab w:val="left" w:pos="7665"/>
        </w:tabs>
        <w:jc w:val="center"/>
        <w:rPr>
          <w:rFonts w:ascii="Calibri" w:eastAsia="Calibri" w:hAnsi="Calibri" w:cs="Calibri"/>
          <w:b/>
          <w:sz w:val="40"/>
          <w:szCs w:val="40"/>
        </w:rPr>
      </w:pPr>
    </w:p>
    <w:p w14:paraId="3BF70A9C" w14:textId="77777777" w:rsidR="00A53502" w:rsidRDefault="00A53502">
      <w:pPr>
        <w:tabs>
          <w:tab w:val="left" w:pos="7665"/>
        </w:tabs>
        <w:jc w:val="center"/>
        <w:rPr>
          <w:rFonts w:ascii="Calibri" w:eastAsia="Calibri" w:hAnsi="Calibri" w:cs="Calibri"/>
          <w:b/>
          <w:sz w:val="40"/>
          <w:szCs w:val="40"/>
        </w:rPr>
      </w:pPr>
    </w:p>
    <w:p w14:paraId="0F5EDED6" w14:textId="77777777" w:rsidR="00A53502" w:rsidRDefault="00352830">
      <w:pPr>
        <w:jc w:val="center"/>
        <w:rPr>
          <w:rFonts w:ascii="Calibri" w:eastAsia="Calibri" w:hAnsi="Calibri" w:cs="Calibri"/>
          <w:b/>
          <w:color w:val="000000"/>
        </w:rPr>
      </w:pPr>
      <w:bookmarkStart w:id="0" w:name="_gjdgxs" w:colFirst="0" w:colLast="0"/>
      <w:bookmarkEnd w:id="0"/>
      <w:r>
        <w:rPr>
          <w:sz w:val="28"/>
          <w:szCs w:val="28"/>
        </w:rPr>
        <w:t>National Protocol for the Conduct of Seasonal Malaria Chemoprevention          End-of-Round Coverage Survey                                                                         NOVEMBER 2020</w:t>
      </w:r>
    </w:p>
    <w:p w14:paraId="45977B41" w14:textId="77777777" w:rsidR="00A53502" w:rsidRDefault="00352830">
      <w:pPr>
        <w:spacing w:line="240" w:lineRule="auto"/>
        <w:jc w:val="left"/>
        <w:rPr>
          <w:rFonts w:ascii="Calibri" w:eastAsia="Calibri" w:hAnsi="Calibri" w:cs="Calibri"/>
          <w:b/>
          <w:sz w:val="22"/>
          <w:szCs w:val="22"/>
        </w:rPr>
      </w:pPr>
      <w:r>
        <w:br w:type="page"/>
      </w:r>
    </w:p>
    <w:p w14:paraId="5F603957" w14:textId="77777777" w:rsidR="00A53502" w:rsidRPr="00F53B4A" w:rsidRDefault="00391CED" w:rsidP="00391CED">
      <w:pPr>
        <w:pStyle w:val="Heading1"/>
        <w:rPr>
          <w:rFonts w:eastAsia="Calibri"/>
        </w:rPr>
      </w:pPr>
      <w:bookmarkStart w:id="1" w:name="_Toc53960774"/>
      <w:r w:rsidRPr="00391CED">
        <w:rPr>
          <w:rFonts w:eastAsia="Calibri"/>
        </w:rPr>
        <w:lastRenderedPageBreak/>
        <w:t>CONTENTS</w:t>
      </w:r>
      <w:bookmarkEnd w:id="1"/>
    </w:p>
    <w:sdt>
      <w:sdtPr>
        <w:id w:val="-809936514"/>
        <w:docPartObj>
          <w:docPartGallery w:val="Table of Contents"/>
          <w:docPartUnique/>
        </w:docPartObj>
      </w:sdtPr>
      <w:sdtEndPr/>
      <w:sdtContent>
        <w:p w14:paraId="09849873" w14:textId="77777777" w:rsidR="00ED3575" w:rsidRDefault="007A217F">
          <w:pPr>
            <w:pStyle w:val="TOC1"/>
            <w:tabs>
              <w:tab w:val="right" w:pos="9350"/>
            </w:tabs>
            <w:rPr>
              <w:rFonts w:asciiTheme="minorHAnsi" w:eastAsiaTheme="minorEastAsia" w:hAnsiTheme="minorHAnsi" w:cstheme="minorBidi"/>
              <w:noProof/>
              <w:sz w:val="22"/>
              <w:szCs w:val="22"/>
            </w:rPr>
          </w:pPr>
          <w:r w:rsidRPr="00F53B4A">
            <w:fldChar w:fldCharType="begin"/>
          </w:r>
          <w:r w:rsidR="00352830" w:rsidRPr="00F53B4A">
            <w:instrText xml:space="preserve"> TOC \h \u \z </w:instrText>
          </w:r>
          <w:r w:rsidRPr="00F53B4A">
            <w:fldChar w:fldCharType="separate"/>
          </w:r>
          <w:hyperlink w:anchor="_Toc53960774" w:history="1">
            <w:r w:rsidR="00ED3575" w:rsidRPr="004A0DCE">
              <w:rPr>
                <w:rStyle w:val="Hyperlink"/>
                <w:rFonts w:eastAsia="Calibri"/>
                <w:noProof/>
              </w:rPr>
              <w:t>CONTENTS</w:t>
            </w:r>
            <w:r w:rsidR="00ED3575">
              <w:rPr>
                <w:noProof/>
                <w:webHidden/>
              </w:rPr>
              <w:tab/>
            </w:r>
            <w:r>
              <w:rPr>
                <w:noProof/>
                <w:webHidden/>
              </w:rPr>
              <w:fldChar w:fldCharType="begin"/>
            </w:r>
            <w:r w:rsidR="00ED3575">
              <w:rPr>
                <w:noProof/>
                <w:webHidden/>
              </w:rPr>
              <w:instrText xml:space="preserve"> PAGEREF _Toc53960774 \h </w:instrText>
            </w:r>
            <w:r>
              <w:rPr>
                <w:noProof/>
                <w:webHidden/>
              </w:rPr>
            </w:r>
            <w:r>
              <w:rPr>
                <w:noProof/>
                <w:webHidden/>
              </w:rPr>
              <w:fldChar w:fldCharType="separate"/>
            </w:r>
            <w:r w:rsidR="00ED3575">
              <w:rPr>
                <w:noProof/>
                <w:webHidden/>
              </w:rPr>
              <w:t>2</w:t>
            </w:r>
            <w:r>
              <w:rPr>
                <w:noProof/>
                <w:webHidden/>
              </w:rPr>
              <w:fldChar w:fldCharType="end"/>
            </w:r>
          </w:hyperlink>
        </w:p>
        <w:p w14:paraId="3ED91F16" w14:textId="77777777" w:rsidR="00ED3575" w:rsidRDefault="0089553A">
          <w:pPr>
            <w:pStyle w:val="TOC1"/>
            <w:tabs>
              <w:tab w:val="right" w:pos="9350"/>
            </w:tabs>
            <w:rPr>
              <w:rFonts w:asciiTheme="minorHAnsi" w:eastAsiaTheme="minorEastAsia" w:hAnsiTheme="minorHAnsi" w:cstheme="minorBidi"/>
              <w:noProof/>
              <w:sz w:val="22"/>
              <w:szCs w:val="22"/>
            </w:rPr>
          </w:pPr>
          <w:hyperlink w:anchor="_Toc53960775" w:history="1">
            <w:r w:rsidR="00ED3575" w:rsidRPr="004A0DCE">
              <w:rPr>
                <w:rStyle w:val="Hyperlink"/>
                <w:noProof/>
              </w:rPr>
              <w:t>ACKNOWLEDGEMENTS</w:t>
            </w:r>
            <w:r w:rsidR="00ED3575">
              <w:rPr>
                <w:noProof/>
                <w:webHidden/>
              </w:rPr>
              <w:tab/>
            </w:r>
            <w:r w:rsidR="007A217F">
              <w:rPr>
                <w:noProof/>
                <w:webHidden/>
              </w:rPr>
              <w:fldChar w:fldCharType="begin"/>
            </w:r>
            <w:r w:rsidR="00ED3575">
              <w:rPr>
                <w:noProof/>
                <w:webHidden/>
              </w:rPr>
              <w:instrText xml:space="preserve"> PAGEREF _Toc53960775 \h </w:instrText>
            </w:r>
            <w:r w:rsidR="007A217F">
              <w:rPr>
                <w:noProof/>
                <w:webHidden/>
              </w:rPr>
            </w:r>
            <w:r w:rsidR="007A217F">
              <w:rPr>
                <w:noProof/>
                <w:webHidden/>
              </w:rPr>
              <w:fldChar w:fldCharType="separate"/>
            </w:r>
            <w:r w:rsidR="00ED3575">
              <w:rPr>
                <w:noProof/>
                <w:webHidden/>
              </w:rPr>
              <w:t>4</w:t>
            </w:r>
            <w:r w:rsidR="007A217F">
              <w:rPr>
                <w:noProof/>
                <w:webHidden/>
              </w:rPr>
              <w:fldChar w:fldCharType="end"/>
            </w:r>
          </w:hyperlink>
        </w:p>
        <w:p w14:paraId="2A8A6862" w14:textId="77777777" w:rsidR="00ED3575" w:rsidRDefault="0089553A">
          <w:pPr>
            <w:pStyle w:val="TOC1"/>
            <w:tabs>
              <w:tab w:val="right" w:pos="9350"/>
            </w:tabs>
            <w:rPr>
              <w:rFonts w:asciiTheme="minorHAnsi" w:eastAsiaTheme="minorEastAsia" w:hAnsiTheme="minorHAnsi" w:cstheme="minorBidi"/>
              <w:noProof/>
              <w:sz w:val="22"/>
              <w:szCs w:val="22"/>
            </w:rPr>
          </w:pPr>
          <w:hyperlink w:anchor="_Toc53960776" w:history="1">
            <w:r w:rsidR="00ED3575" w:rsidRPr="004A0DCE">
              <w:rPr>
                <w:rStyle w:val="Hyperlink"/>
                <w:noProof/>
              </w:rPr>
              <w:t>ABBREVIATIONS AND ACRONYMS</w:t>
            </w:r>
            <w:r w:rsidR="00ED3575">
              <w:rPr>
                <w:noProof/>
                <w:webHidden/>
              </w:rPr>
              <w:tab/>
            </w:r>
            <w:r w:rsidR="007A217F">
              <w:rPr>
                <w:noProof/>
                <w:webHidden/>
              </w:rPr>
              <w:fldChar w:fldCharType="begin"/>
            </w:r>
            <w:r w:rsidR="00ED3575">
              <w:rPr>
                <w:noProof/>
                <w:webHidden/>
              </w:rPr>
              <w:instrText xml:space="preserve"> PAGEREF _Toc53960776 \h </w:instrText>
            </w:r>
            <w:r w:rsidR="007A217F">
              <w:rPr>
                <w:noProof/>
                <w:webHidden/>
              </w:rPr>
            </w:r>
            <w:r w:rsidR="007A217F">
              <w:rPr>
                <w:noProof/>
                <w:webHidden/>
              </w:rPr>
              <w:fldChar w:fldCharType="separate"/>
            </w:r>
            <w:r w:rsidR="00ED3575">
              <w:rPr>
                <w:noProof/>
                <w:webHidden/>
              </w:rPr>
              <w:t>5</w:t>
            </w:r>
            <w:r w:rsidR="007A217F">
              <w:rPr>
                <w:noProof/>
                <w:webHidden/>
              </w:rPr>
              <w:fldChar w:fldCharType="end"/>
            </w:r>
          </w:hyperlink>
        </w:p>
        <w:p w14:paraId="1AD345D4" w14:textId="77777777" w:rsidR="00ED3575" w:rsidRDefault="0089553A">
          <w:pPr>
            <w:pStyle w:val="TOC1"/>
            <w:tabs>
              <w:tab w:val="right" w:pos="9350"/>
            </w:tabs>
            <w:rPr>
              <w:rFonts w:asciiTheme="minorHAnsi" w:eastAsiaTheme="minorEastAsia" w:hAnsiTheme="minorHAnsi" w:cstheme="minorBidi"/>
              <w:noProof/>
              <w:sz w:val="22"/>
              <w:szCs w:val="22"/>
            </w:rPr>
          </w:pPr>
          <w:hyperlink w:anchor="_Toc53960777" w:history="1">
            <w:r w:rsidR="00ED3575" w:rsidRPr="004A0DCE">
              <w:rPr>
                <w:rStyle w:val="Hyperlink"/>
                <w:noProof/>
              </w:rPr>
              <w:t>BACKGROUND</w:t>
            </w:r>
            <w:r w:rsidR="00ED3575">
              <w:rPr>
                <w:noProof/>
                <w:webHidden/>
              </w:rPr>
              <w:tab/>
            </w:r>
            <w:r w:rsidR="007A217F">
              <w:rPr>
                <w:noProof/>
                <w:webHidden/>
              </w:rPr>
              <w:fldChar w:fldCharType="begin"/>
            </w:r>
            <w:r w:rsidR="00ED3575">
              <w:rPr>
                <w:noProof/>
                <w:webHidden/>
              </w:rPr>
              <w:instrText xml:space="preserve"> PAGEREF _Toc53960777 \h </w:instrText>
            </w:r>
            <w:r w:rsidR="007A217F">
              <w:rPr>
                <w:noProof/>
                <w:webHidden/>
              </w:rPr>
            </w:r>
            <w:r w:rsidR="007A217F">
              <w:rPr>
                <w:noProof/>
                <w:webHidden/>
              </w:rPr>
              <w:fldChar w:fldCharType="separate"/>
            </w:r>
            <w:r w:rsidR="00ED3575">
              <w:rPr>
                <w:noProof/>
                <w:webHidden/>
              </w:rPr>
              <w:t>6</w:t>
            </w:r>
            <w:r w:rsidR="007A217F">
              <w:rPr>
                <w:noProof/>
                <w:webHidden/>
              </w:rPr>
              <w:fldChar w:fldCharType="end"/>
            </w:r>
          </w:hyperlink>
        </w:p>
        <w:p w14:paraId="362AA1C5" w14:textId="77777777" w:rsidR="00ED3575" w:rsidRDefault="0089553A">
          <w:pPr>
            <w:pStyle w:val="TOC1"/>
            <w:tabs>
              <w:tab w:val="right" w:pos="9350"/>
            </w:tabs>
            <w:rPr>
              <w:rFonts w:asciiTheme="minorHAnsi" w:eastAsiaTheme="minorEastAsia" w:hAnsiTheme="minorHAnsi" w:cstheme="minorBidi"/>
              <w:noProof/>
              <w:sz w:val="22"/>
              <w:szCs w:val="22"/>
            </w:rPr>
          </w:pPr>
          <w:hyperlink w:anchor="_Toc53960778" w:history="1">
            <w:r w:rsidR="00ED3575" w:rsidRPr="004A0DCE">
              <w:rPr>
                <w:rStyle w:val="Hyperlink"/>
                <w:noProof/>
              </w:rPr>
              <w:t>SURVEY OBJECTIVES</w:t>
            </w:r>
            <w:r w:rsidR="00ED3575">
              <w:rPr>
                <w:noProof/>
                <w:webHidden/>
              </w:rPr>
              <w:tab/>
            </w:r>
            <w:r w:rsidR="007A217F">
              <w:rPr>
                <w:noProof/>
                <w:webHidden/>
              </w:rPr>
              <w:fldChar w:fldCharType="begin"/>
            </w:r>
            <w:r w:rsidR="00ED3575">
              <w:rPr>
                <w:noProof/>
                <w:webHidden/>
              </w:rPr>
              <w:instrText xml:space="preserve"> PAGEREF _Toc53960778 \h </w:instrText>
            </w:r>
            <w:r w:rsidR="007A217F">
              <w:rPr>
                <w:noProof/>
                <w:webHidden/>
              </w:rPr>
            </w:r>
            <w:r w:rsidR="007A217F">
              <w:rPr>
                <w:noProof/>
                <w:webHidden/>
              </w:rPr>
              <w:fldChar w:fldCharType="separate"/>
            </w:r>
            <w:r w:rsidR="00ED3575">
              <w:rPr>
                <w:noProof/>
                <w:webHidden/>
              </w:rPr>
              <w:t>9</w:t>
            </w:r>
            <w:r w:rsidR="007A217F">
              <w:rPr>
                <w:noProof/>
                <w:webHidden/>
              </w:rPr>
              <w:fldChar w:fldCharType="end"/>
            </w:r>
          </w:hyperlink>
        </w:p>
        <w:p w14:paraId="1C8CCE8C" w14:textId="77777777" w:rsidR="00ED3575" w:rsidRDefault="0089553A">
          <w:pPr>
            <w:pStyle w:val="TOC2"/>
            <w:tabs>
              <w:tab w:val="right" w:pos="9350"/>
            </w:tabs>
            <w:rPr>
              <w:rFonts w:asciiTheme="minorHAnsi" w:eastAsiaTheme="minorEastAsia" w:hAnsiTheme="minorHAnsi" w:cstheme="minorBidi"/>
              <w:noProof/>
              <w:sz w:val="22"/>
              <w:szCs w:val="22"/>
            </w:rPr>
          </w:pPr>
          <w:hyperlink w:anchor="_Toc53960779" w:history="1">
            <w:r w:rsidR="00ED3575" w:rsidRPr="004A0DCE">
              <w:rPr>
                <w:rStyle w:val="Hyperlink"/>
                <w:noProof/>
              </w:rPr>
              <w:t>Primary objectives</w:t>
            </w:r>
            <w:r w:rsidR="00ED3575">
              <w:rPr>
                <w:noProof/>
                <w:webHidden/>
              </w:rPr>
              <w:tab/>
            </w:r>
            <w:r w:rsidR="007A217F">
              <w:rPr>
                <w:noProof/>
                <w:webHidden/>
              </w:rPr>
              <w:fldChar w:fldCharType="begin"/>
            </w:r>
            <w:r w:rsidR="00ED3575">
              <w:rPr>
                <w:noProof/>
                <w:webHidden/>
              </w:rPr>
              <w:instrText xml:space="preserve"> PAGEREF _Toc53960779 \h </w:instrText>
            </w:r>
            <w:r w:rsidR="007A217F">
              <w:rPr>
                <w:noProof/>
                <w:webHidden/>
              </w:rPr>
            </w:r>
            <w:r w:rsidR="007A217F">
              <w:rPr>
                <w:noProof/>
                <w:webHidden/>
              </w:rPr>
              <w:fldChar w:fldCharType="separate"/>
            </w:r>
            <w:r w:rsidR="00ED3575">
              <w:rPr>
                <w:noProof/>
                <w:webHidden/>
              </w:rPr>
              <w:t>9</w:t>
            </w:r>
            <w:r w:rsidR="007A217F">
              <w:rPr>
                <w:noProof/>
                <w:webHidden/>
              </w:rPr>
              <w:fldChar w:fldCharType="end"/>
            </w:r>
          </w:hyperlink>
        </w:p>
        <w:p w14:paraId="60DC8B60" w14:textId="77777777" w:rsidR="00ED3575" w:rsidRDefault="0089553A">
          <w:pPr>
            <w:pStyle w:val="TOC2"/>
            <w:tabs>
              <w:tab w:val="right" w:pos="9350"/>
            </w:tabs>
            <w:rPr>
              <w:rFonts w:asciiTheme="minorHAnsi" w:eastAsiaTheme="minorEastAsia" w:hAnsiTheme="minorHAnsi" w:cstheme="minorBidi"/>
              <w:noProof/>
              <w:sz w:val="22"/>
              <w:szCs w:val="22"/>
            </w:rPr>
          </w:pPr>
          <w:hyperlink w:anchor="_Toc53960780" w:history="1">
            <w:r w:rsidR="00ED3575" w:rsidRPr="004A0DCE">
              <w:rPr>
                <w:rStyle w:val="Hyperlink"/>
                <w:noProof/>
              </w:rPr>
              <w:t>Secondary objectives</w:t>
            </w:r>
            <w:r w:rsidR="00ED3575">
              <w:rPr>
                <w:noProof/>
                <w:webHidden/>
              </w:rPr>
              <w:tab/>
            </w:r>
            <w:r w:rsidR="007A217F">
              <w:rPr>
                <w:noProof/>
                <w:webHidden/>
              </w:rPr>
              <w:fldChar w:fldCharType="begin"/>
            </w:r>
            <w:r w:rsidR="00ED3575">
              <w:rPr>
                <w:noProof/>
                <w:webHidden/>
              </w:rPr>
              <w:instrText xml:space="preserve"> PAGEREF _Toc53960780 \h </w:instrText>
            </w:r>
            <w:r w:rsidR="007A217F">
              <w:rPr>
                <w:noProof/>
                <w:webHidden/>
              </w:rPr>
            </w:r>
            <w:r w:rsidR="007A217F">
              <w:rPr>
                <w:noProof/>
                <w:webHidden/>
              </w:rPr>
              <w:fldChar w:fldCharType="separate"/>
            </w:r>
            <w:r w:rsidR="00ED3575">
              <w:rPr>
                <w:noProof/>
                <w:webHidden/>
              </w:rPr>
              <w:t>10</w:t>
            </w:r>
            <w:r w:rsidR="007A217F">
              <w:rPr>
                <w:noProof/>
                <w:webHidden/>
              </w:rPr>
              <w:fldChar w:fldCharType="end"/>
            </w:r>
          </w:hyperlink>
        </w:p>
        <w:p w14:paraId="07DBDCC3" w14:textId="77777777" w:rsidR="00ED3575" w:rsidRDefault="0089553A">
          <w:pPr>
            <w:pStyle w:val="TOC1"/>
            <w:tabs>
              <w:tab w:val="right" w:pos="9350"/>
            </w:tabs>
            <w:rPr>
              <w:rFonts w:asciiTheme="minorHAnsi" w:eastAsiaTheme="minorEastAsia" w:hAnsiTheme="minorHAnsi" w:cstheme="minorBidi"/>
              <w:noProof/>
              <w:sz w:val="22"/>
              <w:szCs w:val="22"/>
            </w:rPr>
          </w:pPr>
          <w:hyperlink w:anchor="_Toc53960781" w:history="1">
            <w:r w:rsidR="00ED3575" w:rsidRPr="004A0DCE">
              <w:rPr>
                <w:rStyle w:val="Hyperlink"/>
                <w:noProof/>
              </w:rPr>
              <w:t>KEY SMC SURVEY INDICATORS</w:t>
            </w:r>
            <w:r w:rsidR="00ED3575">
              <w:rPr>
                <w:noProof/>
                <w:webHidden/>
              </w:rPr>
              <w:tab/>
            </w:r>
            <w:r w:rsidR="007A217F">
              <w:rPr>
                <w:noProof/>
                <w:webHidden/>
              </w:rPr>
              <w:fldChar w:fldCharType="begin"/>
            </w:r>
            <w:r w:rsidR="00ED3575">
              <w:rPr>
                <w:noProof/>
                <w:webHidden/>
              </w:rPr>
              <w:instrText xml:space="preserve"> PAGEREF _Toc53960781 \h </w:instrText>
            </w:r>
            <w:r w:rsidR="007A217F">
              <w:rPr>
                <w:noProof/>
                <w:webHidden/>
              </w:rPr>
            </w:r>
            <w:r w:rsidR="007A217F">
              <w:rPr>
                <w:noProof/>
                <w:webHidden/>
              </w:rPr>
              <w:fldChar w:fldCharType="separate"/>
            </w:r>
            <w:r w:rsidR="00ED3575">
              <w:rPr>
                <w:noProof/>
                <w:webHidden/>
              </w:rPr>
              <w:t>10</w:t>
            </w:r>
            <w:r w:rsidR="007A217F">
              <w:rPr>
                <w:noProof/>
                <w:webHidden/>
              </w:rPr>
              <w:fldChar w:fldCharType="end"/>
            </w:r>
          </w:hyperlink>
        </w:p>
        <w:p w14:paraId="18B0D41F" w14:textId="77777777" w:rsidR="00ED3575" w:rsidRDefault="0089553A">
          <w:pPr>
            <w:pStyle w:val="TOC1"/>
            <w:tabs>
              <w:tab w:val="right" w:pos="9350"/>
            </w:tabs>
            <w:rPr>
              <w:rFonts w:asciiTheme="minorHAnsi" w:eastAsiaTheme="minorEastAsia" w:hAnsiTheme="minorHAnsi" w:cstheme="minorBidi"/>
              <w:noProof/>
              <w:sz w:val="22"/>
              <w:szCs w:val="22"/>
            </w:rPr>
          </w:pPr>
          <w:hyperlink w:anchor="_Toc53960782" w:history="1">
            <w:r w:rsidR="00ED3575" w:rsidRPr="004A0DCE">
              <w:rPr>
                <w:rStyle w:val="Hyperlink"/>
                <w:noProof/>
              </w:rPr>
              <w:t>METHODS</w:t>
            </w:r>
            <w:r w:rsidR="00ED3575">
              <w:rPr>
                <w:noProof/>
                <w:webHidden/>
              </w:rPr>
              <w:tab/>
            </w:r>
            <w:r w:rsidR="007A217F">
              <w:rPr>
                <w:noProof/>
                <w:webHidden/>
              </w:rPr>
              <w:fldChar w:fldCharType="begin"/>
            </w:r>
            <w:r w:rsidR="00ED3575">
              <w:rPr>
                <w:noProof/>
                <w:webHidden/>
              </w:rPr>
              <w:instrText xml:space="preserve"> PAGEREF _Toc53960782 \h </w:instrText>
            </w:r>
            <w:r w:rsidR="007A217F">
              <w:rPr>
                <w:noProof/>
                <w:webHidden/>
              </w:rPr>
            </w:r>
            <w:r w:rsidR="007A217F">
              <w:rPr>
                <w:noProof/>
                <w:webHidden/>
              </w:rPr>
              <w:fldChar w:fldCharType="separate"/>
            </w:r>
            <w:r w:rsidR="00ED3575">
              <w:rPr>
                <w:noProof/>
                <w:webHidden/>
              </w:rPr>
              <w:t>13</w:t>
            </w:r>
            <w:r w:rsidR="007A217F">
              <w:rPr>
                <w:noProof/>
                <w:webHidden/>
              </w:rPr>
              <w:fldChar w:fldCharType="end"/>
            </w:r>
          </w:hyperlink>
        </w:p>
        <w:p w14:paraId="52C67457" w14:textId="77777777" w:rsidR="00ED3575" w:rsidRDefault="0089553A">
          <w:pPr>
            <w:pStyle w:val="TOC2"/>
            <w:tabs>
              <w:tab w:val="right" w:pos="9350"/>
            </w:tabs>
            <w:rPr>
              <w:rFonts w:asciiTheme="minorHAnsi" w:eastAsiaTheme="minorEastAsia" w:hAnsiTheme="minorHAnsi" w:cstheme="minorBidi"/>
              <w:noProof/>
              <w:sz w:val="22"/>
              <w:szCs w:val="22"/>
            </w:rPr>
          </w:pPr>
          <w:hyperlink w:anchor="_Toc53960783" w:history="1">
            <w:r w:rsidR="00ED3575" w:rsidRPr="004A0DCE">
              <w:rPr>
                <w:rStyle w:val="Hyperlink"/>
                <w:noProof/>
              </w:rPr>
              <w:t>Survey design</w:t>
            </w:r>
            <w:r w:rsidR="00ED3575">
              <w:rPr>
                <w:noProof/>
                <w:webHidden/>
              </w:rPr>
              <w:tab/>
            </w:r>
            <w:r w:rsidR="007A217F">
              <w:rPr>
                <w:noProof/>
                <w:webHidden/>
              </w:rPr>
              <w:fldChar w:fldCharType="begin"/>
            </w:r>
            <w:r w:rsidR="00ED3575">
              <w:rPr>
                <w:noProof/>
                <w:webHidden/>
              </w:rPr>
              <w:instrText xml:space="preserve"> PAGEREF _Toc53960783 \h </w:instrText>
            </w:r>
            <w:r w:rsidR="007A217F">
              <w:rPr>
                <w:noProof/>
                <w:webHidden/>
              </w:rPr>
            </w:r>
            <w:r w:rsidR="007A217F">
              <w:rPr>
                <w:noProof/>
                <w:webHidden/>
              </w:rPr>
              <w:fldChar w:fldCharType="separate"/>
            </w:r>
            <w:r w:rsidR="00ED3575">
              <w:rPr>
                <w:noProof/>
                <w:webHidden/>
              </w:rPr>
              <w:t>13</w:t>
            </w:r>
            <w:r w:rsidR="007A217F">
              <w:rPr>
                <w:noProof/>
                <w:webHidden/>
              </w:rPr>
              <w:fldChar w:fldCharType="end"/>
            </w:r>
          </w:hyperlink>
        </w:p>
        <w:p w14:paraId="226A0799" w14:textId="77777777" w:rsidR="00ED3575" w:rsidRDefault="0089553A">
          <w:pPr>
            <w:pStyle w:val="TOC2"/>
            <w:tabs>
              <w:tab w:val="right" w:pos="9350"/>
            </w:tabs>
            <w:rPr>
              <w:rFonts w:asciiTheme="minorHAnsi" w:eastAsiaTheme="minorEastAsia" w:hAnsiTheme="minorHAnsi" w:cstheme="minorBidi"/>
              <w:noProof/>
              <w:sz w:val="22"/>
              <w:szCs w:val="22"/>
            </w:rPr>
          </w:pPr>
          <w:hyperlink w:anchor="_Toc53960784" w:history="1">
            <w:r w:rsidR="00ED3575" w:rsidRPr="004A0DCE">
              <w:rPr>
                <w:rStyle w:val="Hyperlink"/>
                <w:noProof/>
              </w:rPr>
              <w:t>Survey Area</w:t>
            </w:r>
            <w:r w:rsidR="00ED3575">
              <w:rPr>
                <w:noProof/>
                <w:webHidden/>
              </w:rPr>
              <w:tab/>
            </w:r>
            <w:r w:rsidR="007A217F">
              <w:rPr>
                <w:noProof/>
                <w:webHidden/>
              </w:rPr>
              <w:fldChar w:fldCharType="begin"/>
            </w:r>
            <w:r w:rsidR="00ED3575">
              <w:rPr>
                <w:noProof/>
                <w:webHidden/>
              </w:rPr>
              <w:instrText xml:space="preserve"> PAGEREF _Toc53960784 \h </w:instrText>
            </w:r>
            <w:r w:rsidR="007A217F">
              <w:rPr>
                <w:noProof/>
                <w:webHidden/>
              </w:rPr>
            </w:r>
            <w:r w:rsidR="007A217F">
              <w:rPr>
                <w:noProof/>
                <w:webHidden/>
              </w:rPr>
              <w:fldChar w:fldCharType="separate"/>
            </w:r>
            <w:r w:rsidR="00ED3575">
              <w:rPr>
                <w:noProof/>
                <w:webHidden/>
              </w:rPr>
              <w:t>14</w:t>
            </w:r>
            <w:r w:rsidR="007A217F">
              <w:rPr>
                <w:noProof/>
                <w:webHidden/>
              </w:rPr>
              <w:fldChar w:fldCharType="end"/>
            </w:r>
          </w:hyperlink>
        </w:p>
        <w:p w14:paraId="58B231D3" w14:textId="77777777" w:rsidR="00ED3575" w:rsidRDefault="0089553A">
          <w:pPr>
            <w:pStyle w:val="TOC2"/>
            <w:tabs>
              <w:tab w:val="right" w:pos="9350"/>
            </w:tabs>
            <w:rPr>
              <w:rFonts w:asciiTheme="minorHAnsi" w:eastAsiaTheme="minorEastAsia" w:hAnsiTheme="minorHAnsi" w:cstheme="minorBidi"/>
              <w:noProof/>
              <w:sz w:val="22"/>
              <w:szCs w:val="22"/>
            </w:rPr>
          </w:pPr>
          <w:hyperlink w:anchor="_Toc53960785" w:history="1">
            <w:r w:rsidR="00ED3575" w:rsidRPr="004A0DCE">
              <w:rPr>
                <w:rStyle w:val="Hyperlink"/>
                <w:noProof/>
              </w:rPr>
              <w:t>Survey population</w:t>
            </w:r>
            <w:r w:rsidR="00ED3575">
              <w:rPr>
                <w:noProof/>
                <w:webHidden/>
              </w:rPr>
              <w:tab/>
            </w:r>
            <w:r w:rsidR="007A217F">
              <w:rPr>
                <w:noProof/>
                <w:webHidden/>
              </w:rPr>
              <w:fldChar w:fldCharType="begin"/>
            </w:r>
            <w:r w:rsidR="00ED3575">
              <w:rPr>
                <w:noProof/>
                <w:webHidden/>
              </w:rPr>
              <w:instrText xml:space="preserve"> PAGEREF _Toc53960785 \h </w:instrText>
            </w:r>
            <w:r w:rsidR="007A217F">
              <w:rPr>
                <w:noProof/>
                <w:webHidden/>
              </w:rPr>
            </w:r>
            <w:r w:rsidR="007A217F">
              <w:rPr>
                <w:noProof/>
                <w:webHidden/>
              </w:rPr>
              <w:fldChar w:fldCharType="separate"/>
            </w:r>
            <w:r w:rsidR="00ED3575">
              <w:rPr>
                <w:noProof/>
                <w:webHidden/>
              </w:rPr>
              <w:t>14</w:t>
            </w:r>
            <w:r w:rsidR="007A217F">
              <w:rPr>
                <w:noProof/>
                <w:webHidden/>
              </w:rPr>
              <w:fldChar w:fldCharType="end"/>
            </w:r>
          </w:hyperlink>
        </w:p>
        <w:p w14:paraId="472E632A" w14:textId="77777777" w:rsidR="00ED3575" w:rsidRDefault="0089553A">
          <w:pPr>
            <w:pStyle w:val="TOC3"/>
            <w:tabs>
              <w:tab w:val="right" w:pos="9350"/>
            </w:tabs>
            <w:rPr>
              <w:rFonts w:asciiTheme="minorHAnsi" w:eastAsiaTheme="minorEastAsia" w:hAnsiTheme="minorHAnsi" w:cstheme="minorBidi"/>
              <w:noProof/>
              <w:sz w:val="22"/>
              <w:szCs w:val="22"/>
            </w:rPr>
          </w:pPr>
          <w:hyperlink w:anchor="_Toc53960786" w:history="1">
            <w:r w:rsidR="00ED3575" w:rsidRPr="004A0DCE">
              <w:rPr>
                <w:rStyle w:val="Hyperlink"/>
                <w:noProof/>
              </w:rPr>
              <w:t>Inclusion criteria</w:t>
            </w:r>
            <w:r w:rsidR="00ED3575">
              <w:rPr>
                <w:noProof/>
                <w:webHidden/>
              </w:rPr>
              <w:tab/>
            </w:r>
            <w:r w:rsidR="007A217F">
              <w:rPr>
                <w:noProof/>
                <w:webHidden/>
              </w:rPr>
              <w:fldChar w:fldCharType="begin"/>
            </w:r>
            <w:r w:rsidR="00ED3575">
              <w:rPr>
                <w:noProof/>
                <w:webHidden/>
              </w:rPr>
              <w:instrText xml:space="preserve"> PAGEREF _Toc53960786 \h </w:instrText>
            </w:r>
            <w:r w:rsidR="007A217F">
              <w:rPr>
                <w:noProof/>
                <w:webHidden/>
              </w:rPr>
            </w:r>
            <w:r w:rsidR="007A217F">
              <w:rPr>
                <w:noProof/>
                <w:webHidden/>
              </w:rPr>
              <w:fldChar w:fldCharType="separate"/>
            </w:r>
            <w:r w:rsidR="00ED3575">
              <w:rPr>
                <w:noProof/>
                <w:webHidden/>
              </w:rPr>
              <w:t>14</w:t>
            </w:r>
            <w:r w:rsidR="007A217F">
              <w:rPr>
                <w:noProof/>
                <w:webHidden/>
              </w:rPr>
              <w:fldChar w:fldCharType="end"/>
            </w:r>
          </w:hyperlink>
        </w:p>
        <w:p w14:paraId="599F113B" w14:textId="77777777" w:rsidR="00ED3575" w:rsidRDefault="0089553A">
          <w:pPr>
            <w:pStyle w:val="TOC2"/>
            <w:tabs>
              <w:tab w:val="right" w:pos="9350"/>
            </w:tabs>
            <w:rPr>
              <w:rFonts w:asciiTheme="minorHAnsi" w:eastAsiaTheme="minorEastAsia" w:hAnsiTheme="minorHAnsi" w:cstheme="minorBidi"/>
              <w:noProof/>
              <w:sz w:val="22"/>
              <w:szCs w:val="22"/>
            </w:rPr>
          </w:pPr>
          <w:hyperlink w:anchor="_Toc53960787" w:history="1">
            <w:r w:rsidR="00ED3575" w:rsidRPr="004A0DCE">
              <w:rPr>
                <w:rStyle w:val="Hyperlink"/>
                <w:noProof/>
              </w:rPr>
              <w:t>Sample size</w:t>
            </w:r>
            <w:r w:rsidR="00ED3575">
              <w:rPr>
                <w:noProof/>
                <w:webHidden/>
              </w:rPr>
              <w:tab/>
            </w:r>
            <w:r w:rsidR="007A217F">
              <w:rPr>
                <w:noProof/>
                <w:webHidden/>
              </w:rPr>
              <w:fldChar w:fldCharType="begin"/>
            </w:r>
            <w:r w:rsidR="00ED3575">
              <w:rPr>
                <w:noProof/>
                <w:webHidden/>
              </w:rPr>
              <w:instrText xml:space="preserve"> PAGEREF _Toc53960787 \h </w:instrText>
            </w:r>
            <w:r w:rsidR="007A217F">
              <w:rPr>
                <w:noProof/>
                <w:webHidden/>
              </w:rPr>
            </w:r>
            <w:r w:rsidR="007A217F">
              <w:rPr>
                <w:noProof/>
                <w:webHidden/>
              </w:rPr>
              <w:fldChar w:fldCharType="separate"/>
            </w:r>
            <w:r w:rsidR="00ED3575">
              <w:rPr>
                <w:noProof/>
                <w:webHidden/>
              </w:rPr>
              <w:t>14</w:t>
            </w:r>
            <w:r w:rsidR="007A217F">
              <w:rPr>
                <w:noProof/>
                <w:webHidden/>
              </w:rPr>
              <w:fldChar w:fldCharType="end"/>
            </w:r>
          </w:hyperlink>
        </w:p>
        <w:p w14:paraId="4664EF82" w14:textId="77777777" w:rsidR="00ED3575" w:rsidRDefault="0089553A">
          <w:pPr>
            <w:pStyle w:val="TOC2"/>
            <w:tabs>
              <w:tab w:val="right" w:pos="9350"/>
            </w:tabs>
            <w:rPr>
              <w:rFonts w:asciiTheme="minorHAnsi" w:eastAsiaTheme="minorEastAsia" w:hAnsiTheme="minorHAnsi" w:cstheme="minorBidi"/>
              <w:noProof/>
              <w:sz w:val="22"/>
              <w:szCs w:val="22"/>
            </w:rPr>
          </w:pPr>
          <w:hyperlink w:anchor="_Toc53960788" w:history="1">
            <w:r w:rsidR="00ED3575" w:rsidRPr="004A0DCE">
              <w:rPr>
                <w:rStyle w:val="Hyperlink"/>
                <w:noProof/>
              </w:rPr>
              <w:t>Sampling frame and sampling design</w:t>
            </w:r>
            <w:r w:rsidR="00ED3575">
              <w:rPr>
                <w:noProof/>
                <w:webHidden/>
              </w:rPr>
              <w:tab/>
            </w:r>
            <w:r w:rsidR="007A217F">
              <w:rPr>
                <w:noProof/>
                <w:webHidden/>
              </w:rPr>
              <w:fldChar w:fldCharType="begin"/>
            </w:r>
            <w:r w:rsidR="00ED3575">
              <w:rPr>
                <w:noProof/>
                <w:webHidden/>
              </w:rPr>
              <w:instrText xml:space="preserve"> PAGEREF _Toc53960788 \h </w:instrText>
            </w:r>
            <w:r w:rsidR="007A217F">
              <w:rPr>
                <w:noProof/>
                <w:webHidden/>
              </w:rPr>
            </w:r>
            <w:r w:rsidR="007A217F">
              <w:rPr>
                <w:noProof/>
                <w:webHidden/>
              </w:rPr>
              <w:fldChar w:fldCharType="separate"/>
            </w:r>
            <w:r w:rsidR="00ED3575">
              <w:rPr>
                <w:noProof/>
                <w:webHidden/>
              </w:rPr>
              <w:t>15</w:t>
            </w:r>
            <w:r w:rsidR="007A217F">
              <w:rPr>
                <w:noProof/>
                <w:webHidden/>
              </w:rPr>
              <w:fldChar w:fldCharType="end"/>
            </w:r>
          </w:hyperlink>
        </w:p>
        <w:p w14:paraId="2945175C" w14:textId="77777777" w:rsidR="00ED3575" w:rsidRDefault="0089553A">
          <w:pPr>
            <w:pStyle w:val="TOC1"/>
            <w:tabs>
              <w:tab w:val="right" w:pos="9350"/>
            </w:tabs>
            <w:rPr>
              <w:rFonts w:asciiTheme="minorHAnsi" w:eastAsiaTheme="minorEastAsia" w:hAnsiTheme="minorHAnsi" w:cstheme="minorBidi"/>
              <w:noProof/>
              <w:sz w:val="22"/>
              <w:szCs w:val="22"/>
            </w:rPr>
          </w:pPr>
          <w:hyperlink w:anchor="_Toc53960789" w:history="1">
            <w:r w:rsidR="00ED3575" w:rsidRPr="004A0DCE">
              <w:rPr>
                <w:rStyle w:val="Hyperlink"/>
                <w:noProof/>
              </w:rPr>
              <w:t>DATA COLLECTION</w:t>
            </w:r>
            <w:r w:rsidR="00ED3575">
              <w:rPr>
                <w:noProof/>
                <w:webHidden/>
              </w:rPr>
              <w:tab/>
            </w:r>
            <w:r w:rsidR="007A217F">
              <w:rPr>
                <w:noProof/>
                <w:webHidden/>
              </w:rPr>
              <w:fldChar w:fldCharType="begin"/>
            </w:r>
            <w:r w:rsidR="00ED3575">
              <w:rPr>
                <w:noProof/>
                <w:webHidden/>
              </w:rPr>
              <w:instrText xml:space="preserve"> PAGEREF _Toc53960789 \h </w:instrText>
            </w:r>
            <w:r w:rsidR="007A217F">
              <w:rPr>
                <w:noProof/>
                <w:webHidden/>
              </w:rPr>
            </w:r>
            <w:r w:rsidR="007A217F">
              <w:rPr>
                <w:noProof/>
                <w:webHidden/>
              </w:rPr>
              <w:fldChar w:fldCharType="separate"/>
            </w:r>
            <w:r w:rsidR="00ED3575">
              <w:rPr>
                <w:noProof/>
                <w:webHidden/>
              </w:rPr>
              <w:t>16</w:t>
            </w:r>
            <w:r w:rsidR="007A217F">
              <w:rPr>
                <w:noProof/>
                <w:webHidden/>
              </w:rPr>
              <w:fldChar w:fldCharType="end"/>
            </w:r>
          </w:hyperlink>
        </w:p>
        <w:p w14:paraId="5A9DE2B0" w14:textId="77777777" w:rsidR="00ED3575" w:rsidRDefault="0089553A">
          <w:pPr>
            <w:pStyle w:val="TOC2"/>
            <w:tabs>
              <w:tab w:val="right" w:pos="9350"/>
            </w:tabs>
            <w:rPr>
              <w:rFonts w:asciiTheme="minorHAnsi" w:eastAsiaTheme="minorEastAsia" w:hAnsiTheme="minorHAnsi" w:cstheme="minorBidi"/>
              <w:noProof/>
              <w:sz w:val="22"/>
              <w:szCs w:val="22"/>
            </w:rPr>
          </w:pPr>
          <w:hyperlink w:anchor="_Toc53960790" w:history="1">
            <w:r w:rsidR="00ED3575" w:rsidRPr="004A0DCE">
              <w:rPr>
                <w:rStyle w:val="Hyperlink"/>
                <w:noProof/>
              </w:rPr>
              <w:t>Survey Tools and Pilot</w:t>
            </w:r>
            <w:r w:rsidR="00ED3575">
              <w:rPr>
                <w:noProof/>
                <w:webHidden/>
              </w:rPr>
              <w:tab/>
            </w:r>
            <w:r w:rsidR="007A217F">
              <w:rPr>
                <w:noProof/>
                <w:webHidden/>
              </w:rPr>
              <w:fldChar w:fldCharType="begin"/>
            </w:r>
            <w:r w:rsidR="00ED3575">
              <w:rPr>
                <w:noProof/>
                <w:webHidden/>
              </w:rPr>
              <w:instrText xml:space="preserve"> PAGEREF _Toc53960790 \h </w:instrText>
            </w:r>
            <w:r w:rsidR="007A217F">
              <w:rPr>
                <w:noProof/>
                <w:webHidden/>
              </w:rPr>
            </w:r>
            <w:r w:rsidR="007A217F">
              <w:rPr>
                <w:noProof/>
                <w:webHidden/>
              </w:rPr>
              <w:fldChar w:fldCharType="separate"/>
            </w:r>
            <w:r w:rsidR="00ED3575">
              <w:rPr>
                <w:noProof/>
                <w:webHidden/>
              </w:rPr>
              <w:t>16</w:t>
            </w:r>
            <w:r w:rsidR="007A217F">
              <w:rPr>
                <w:noProof/>
                <w:webHidden/>
              </w:rPr>
              <w:fldChar w:fldCharType="end"/>
            </w:r>
          </w:hyperlink>
        </w:p>
        <w:p w14:paraId="760E519A" w14:textId="77777777" w:rsidR="00ED3575" w:rsidRDefault="0089553A">
          <w:pPr>
            <w:pStyle w:val="TOC2"/>
            <w:tabs>
              <w:tab w:val="right" w:pos="9350"/>
            </w:tabs>
            <w:rPr>
              <w:rFonts w:asciiTheme="minorHAnsi" w:eastAsiaTheme="minorEastAsia" w:hAnsiTheme="minorHAnsi" w:cstheme="minorBidi"/>
              <w:noProof/>
              <w:sz w:val="22"/>
              <w:szCs w:val="22"/>
            </w:rPr>
          </w:pPr>
          <w:hyperlink w:anchor="_Toc53960791" w:history="1">
            <w:r w:rsidR="00ED3575" w:rsidRPr="004A0DCE">
              <w:rPr>
                <w:rStyle w:val="Hyperlink"/>
                <w:noProof/>
              </w:rPr>
              <w:t>Data Collection Procedures</w:t>
            </w:r>
            <w:r w:rsidR="00ED3575">
              <w:rPr>
                <w:noProof/>
                <w:webHidden/>
              </w:rPr>
              <w:tab/>
            </w:r>
            <w:r w:rsidR="007A217F">
              <w:rPr>
                <w:noProof/>
                <w:webHidden/>
              </w:rPr>
              <w:fldChar w:fldCharType="begin"/>
            </w:r>
            <w:r w:rsidR="00ED3575">
              <w:rPr>
                <w:noProof/>
                <w:webHidden/>
              </w:rPr>
              <w:instrText xml:space="preserve"> PAGEREF _Toc53960791 \h </w:instrText>
            </w:r>
            <w:r w:rsidR="007A217F">
              <w:rPr>
                <w:noProof/>
                <w:webHidden/>
              </w:rPr>
            </w:r>
            <w:r w:rsidR="007A217F">
              <w:rPr>
                <w:noProof/>
                <w:webHidden/>
              </w:rPr>
              <w:fldChar w:fldCharType="separate"/>
            </w:r>
            <w:r w:rsidR="00ED3575">
              <w:rPr>
                <w:noProof/>
                <w:webHidden/>
              </w:rPr>
              <w:t>17</w:t>
            </w:r>
            <w:r w:rsidR="007A217F">
              <w:rPr>
                <w:noProof/>
                <w:webHidden/>
              </w:rPr>
              <w:fldChar w:fldCharType="end"/>
            </w:r>
          </w:hyperlink>
        </w:p>
        <w:p w14:paraId="1E5D6EB8" w14:textId="77777777" w:rsidR="00ED3575" w:rsidRDefault="0089553A">
          <w:pPr>
            <w:pStyle w:val="TOC3"/>
            <w:tabs>
              <w:tab w:val="right" w:pos="9350"/>
            </w:tabs>
            <w:rPr>
              <w:rFonts w:asciiTheme="minorHAnsi" w:eastAsiaTheme="minorEastAsia" w:hAnsiTheme="minorHAnsi" w:cstheme="minorBidi"/>
              <w:noProof/>
              <w:sz w:val="22"/>
              <w:szCs w:val="22"/>
            </w:rPr>
          </w:pPr>
          <w:hyperlink w:anchor="_Toc53960792" w:history="1">
            <w:r w:rsidR="00ED3575" w:rsidRPr="004A0DCE">
              <w:rPr>
                <w:rStyle w:val="Hyperlink"/>
                <w:noProof/>
              </w:rPr>
              <w:t>Sensitization of Communities Participating in the Household Survey</w:t>
            </w:r>
            <w:r w:rsidR="00ED3575">
              <w:rPr>
                <w:noProof/>
                <w:webHidden/>
              </w:rPr>
              <w:tab/>
            </w:r>
            <w:r w:rsidR="007A217F">
              <w:rPr>
                <w:noProof/>
                <w:webHidden/>
              </w:rPr>
              <w:fldChar w:fldCharType="begin"/>
            </w:r>
            <w:r w:rsidR="00ED3575">
              <w:rPr>
                <w:noProof/>
                <w:webHidden/>
              </w:rPr>
              <w:instrText xml:space="preserve"> PAGEREF _Toc53960792 \h </w:instrText>
            </w:r>
            <w:r w:rsidR="007A217F">
              <w:rPr>
                <w:noProof/>
                <w:webHidden/>
              </w:rPr>
            </w:r>
            <w:r w:rsidR="007A217F">
              <w:rPr>
                <w:noProof/>
                <w:webHidden/>
              </w:rPr>
              <w:fldChar w:fldCharType="separate"/>
            </w:r>
            <w:r w:rsidR="00ED3575">
              <w:rPr>
                <w:noProof/>
                <w:webHidden/>
              </w:rPr>
              <w:t>18</w:t>
            </w:r>
            <w:r w:rsidR="007A217F">
              <w:rPr>
                <w:noProof/>
                <w:webHidden/>
              </w:rPr>
              <w:fldChar w:fldCharType="end"/>
            </w:r>
          </w:hyperlink>
        </w:p>
        <w:p w14:paraId="016D405F" w14:textId="77777777" w:rsidR="00ED3575" w:rsidRDefault="0089553A">
          <w:pPr>
            <w:pStyle w:val="TOC1"/>
            <w:tabs>
              <w:tab w:val="right" w:pos="9350"/>
            </w:tabs>
            <w:rPr>
              <w:rFonts w:asciiTheme="minorHAnsi" w:eastAsiaTheme="minorEastAsia" w:hAnsiTheme="minorHAnsi" w:cstheme="minorBidi"/>
              <w:noProof/>
              <w:sz w:val="22"/>
              <w:szCs w:val="22"/>
            </w:rPr>
          </w:pPr>
          <w:hyperlink w:anchor="_Toc53960793" w:history="1">
            <w:r w:rsidR="00ED3575" w:rsidRPr="004A0DCE">
              <w:rPr>
                <w:rStyle w:val="Hyperlink"/>
                <w:noProof/>
              </w:rPr>
              <w:t>MANAGEMENT OF FIELDWORK</w:t>
            </w:r>
            <w:r w:rsidR="00ED3575">
              <w:rPr>
                <w:noProof/>
                <w:webHidden/>
              </w:rPr>
              <w:tab/>
            </w:r>
            <w:r w:rsidR="007A217F">
              <w:rPr>
                <w:noProof/>
                <w:webHidden/>
              </w:rPr>
              <w:fldChar w:fldCharType="begin"/>
            </w:r>
            <w:r w:rsidR="00ED3575">
              <w:rPr>
                <w:noProof/>
                <w:webHidden/>
              </w:rPr>
              <w:instrText xml:space="preserve"> PAGEREF _Toc53960793 \h </w:instrText>
            </w:r>
            <w:r w:rsidR="007A217F">
              <w:rPr>
                <w:noProof/>
                <w:webHidden/>
              </w:rPr>
            </w:r>
            <w:r w:rsidR="007A217F">
              <w:rPr>
                <w:noProof/>
                <w:webHidden/>
              </w:rPr>
              <w:fldChar w:fldCharType="separate"/>
            </w:r>
            <w:r w:rsidR="00ED3575">
              <w:rPr>
                <w:noProof/>
                <w:webHidden/>
              </w:rPr>
              <w:t>18</w:t>
            </w:r>
            <w:r w:rsidR="007A217F">
              <w:rPr>
                <w:noProof/>
                <w:webHidden/>
              </w:rPr>
              <w:fldChar w:fldCharType="end"/>
            </w:r>
          </w:hyperlink>
        </w:p>
        <w:p w14:paraId="574B207A" w14:textId="77777777" w:rsidR="00ED3575" w:rsidRDefault="0089553A">
          <w:pPr>
            <w:pStyle w:val="TOC1"/>
            <w:tabs>
              <w:tab w:val="right" w:pos="9350"/>
            </w:tabs>
            <w:rPr>
              <w:rFonts w:asciiTheme="minorHAnsi" w:eastAsiaTheme="minorEastAsia" w:hAnsiTheme="minorHAnsi" w:cstheme="minorBidi"/>
              <w:noProof/>
              <w:sz w:val="22"/>
              <w:szCs w:val="22"/>
            </w:rPr>
          </w:pPr>
          <w:hyperlink w:anchor="_Toc53960794" w:history="1">
            <w:r w:rsidR="00ED3575" w:rsidRPr="004A0DCE">
              <w:rPr>
                <w:rStyle w:val="Hyperlink"/>
                <w:noProof/>
              </w:rPr>
              <w:t>DATA MANAGEMENT</w:t>
            </w:r>
            <w:r w:rsidR="00ED3575">
              <w:rPr>
                <w:noProof/>
                <w:webHidden/>
              </w:rPr>
              <w:tab/>
            </w:r>
            <w:r w:rsidR="007A217F">
              <w:rPr>
                <w:noProof/>
                <w:webHidden/>
              </w:rPr>
              <w:fldChar w:fldCharType="begin"/>
            </w:r>
            <w:r w:rsidR="00ED3575">
              <w:rPr>
                <w:noProof/>
                <w:webHidden/>
              </w:rPr>
              <w:instrText xml:space="preserve"> PAGEREF _Toc53960794 \h </w:instrText>
            </w:r>
            <w:r w:rsidR="007A217F">
              <w:rPr>
                <w:noProof/>
                <w:webHidden/>
              </w:rPr>
            </w:r>
            <w:r w:rsidR="007A217F">
              <w:rPr>
                <w:noProof/>
                <w:webHidden/>
              </w:rPr>
              <w:fldChar w:fldCharType="separate"/>
            </w:r>
            <w:r w:rsidR="00ED3575">
              <w:rPr>
                <w:noProof/>
                <w:webHidden/>
              </w:rPr>
              <w:t>18</w:t>
            </w:r>
            <w:r w:rsidR="007A217F">
              <w:rPr>
                <w:noProof/>
                <w:webHidden/>
              </w:rPr>
              <w:fldChar w:fldCharType="end"/>
            </w:r>
          </w:hyperlink>
        </w:p>
        <w:p w14:paraId="7829C95A" w14:textId="77777777" w:rsidR="00ED3575" w:rsidRDefault="0089553A">
          <w:pPr>
            <w:pStyle w:val="TOC2"/>
            <w:tabs>
              <w:tab w:val="right" w:pos="9350"/>
            </w:tabs>
            <w:rPr>
              <w:rFonts w:asciiTheme="minorHAnsi" w:eastAsiaTheme="minorEastAsia" w:hAnsiTheme="minorHAnsi" w:cstheme="minorBidi"/>
              <w:noProof/>
              <w:sz w:val="22"/>
              <w:szCs w:val="22"/>
            </w:rPr>
          </w:pPr>
          <w:hyperlink w:anchor="_Toc53960795" w:history="1">
            <w:r w:rsidR="00ED3575" w:rsidRPr="004A0DCE">
              <w:rPr>
                <w:rStyle w:val="Hyperlink"/>
                <w:noProof/>
              </w:rPr>
              <w:t>Data analysis</w:t>
            </w:r>
            <w:r w:rsidR="00ED3575">
              <w:rPr>
                <w:noProof/>
                <w:webHidden/>
              </w:rPr>
              <w:tab/>
            </w:r>
            <w:r w:rsidR="007A217F">
              <w:rPr>
                <w:noProof/>
                <w:webHidden/>
              </w:rPr>
              <w:fldChar w:fldCharType="begin"/>
            </w:r>
            <w:r w:rsidR="00ED3575">
              <w:rPr>
                <w:noProof/>
                <w:webHidden/>
              </w:rPr>
              <w:instrText xml:space="preserve"> PAGEREF _Toc53960795 \h </w:instrText>
            </w:r>
            <w:r w:rsidR="007A217F">
              <w:rPr>
                <w:noProof/>
                <w:webHidden/>
              </w:rPr>
            </w:r>
            <w:r w:rsidR="007A217F">
              <w:rPr>
                <w:noProof/>
                <w:webHidden/>
              </w:rPr>
              <w:fldChar w:fldCharType="separate"/>
            </w:r>
            <w:r w:rsidR="00ED3575">
              <w:rPr>
                <w:noProof/>
                <w:webHidden/>
              </w:rPr>
              <w:t>19</w:t>
            </w:r>
            <w:r w:rsidR="007A217F">
              <w:rPr>
                <w:noProof/>
                <w:webHidden/>
              </w:rPr>
              <w:fldChar w:fldCharType="end"/>
            </w:r>
          </w:hyperlink>
        </w:p>
        <w:p w14:paraId="761E6F9D" w14:textId="77777777" w:rsidR="00ED3575" w:rsidRDefault="0089553A">
          <w:pPr>
            <w:pStyle w:val="TOC1"/>
            <w:tabs>
              <w:tab w:val="right" w:pos="9350"/>
            </w:tabs>
            <w:rPr>
              <w:rFonts w:asciiTheme="minorHAnsi" w:eastAsiaTheme="minorEastAsia" w:hAnsiTheme="minorHAnsi" w:cstheme="minorBidi"/>
              <w:noProof/>
              <w:sz w:val="22"/>
              <w:szCs w:val="22"/>
            </w:rPr>
          </w:pPr>
          <w:hyperlink w:anchor="_Toc53960796" w:history="1">
            <w:r w:rsidR="00ED3575" w:rsidRPr="004A0DCE">
              <w:rPr>
                <w:rStyle w:val="Hyperlink"/>
                <w:noProof/>
              </w:rPr>
              <w:t>ETHICAL CONSIDERATIONS</w:t>
            </w:r>
            <w:r w:rsidR="00ED3575">
              <w:rPr>
                <w:noProof/>
                <w:webHidden/>
              </w:rPr>
              <w:tab/>
            </w:r>
            <w:r w:rsidR="007A217F">
              <w:rPr>
                <w:noProof/>
                <w:webHidden/>
              </w:rPr>
              <w:fldChar w:fldCharType="begin"/>
            </w:r>
            <w:r w:rsidR="00ED3575">
              <w:rPr>
                <w:noProof/>
                <w:webHidden/>
              </w:rPr>
              <w:instrText xml:space="preserve"> PAGEREF _Toc53960796 \h </w:instrText>
            </w:r>
            <w:r w:rsidR="007A217F">
              <w:rPr>
                <w:noProof/>
                <w:webHidden/>
              </w:rPr>
            </w:r>
            <w:r w:rsidR="007A217F">
              <w:rPr>
                <w:noProof/>
                <w:webHidden/>
              </w:rPr>
              <w:fldChar w:fldCharType="separate"/>
            </w:r>
            <w:r w:rsidR="00ED3575">
              <w:rPr>
                <w:noProof/>
                <w:webHidden/>
              </w:rPr>
              <w:t>19</w:t>
            </w:r>
            <w:r w:rsidR="007A217F">
              <w:rPr>
                <w:noProof/>
                <w:webHidden/>
              </w:rPr>
              <w:fldChar w:fldCharType="end"/>
            </w:r>
          </w:hyperlink>
        </w:p>
        <w:p w14:paraId="08ACC5DC" w14:textId="77777777" w:rsidR="00ED3575" w:rsidRDefault="0089553A">
          <w:pPr>
            <w:pStyle w:val="TOC1"/>
            <w:tabs>
              <w:tab w:val="right" w:pos="9350"/>
            </w:tabs>
            <w:rPr>
              <w:rFonts w:asciiTheme="minorHAnsi" w:eastAsiaTheme="minorEastAsia" w:hAnsiTheme="minorHAnsi" w:cstheme="minorBidi"/>
              <w:noProof/>
              <w:sz w:val="22"/>
              <w:szCs w:val="22"/>
            </w:rPr>
          </w:pPr>
          <w:hyperlink w:anchor="_Toc53960797" w:history="1">
            <w:r w:rsidR="00ED3575" w:rsidRPr="004A0DCE">
              <w:rPr>
                <w:rStyle w:val="Hyperlink"/>
                <w:noProof/>
              </w:rPr>
              <w:t>SAFETY CONSIDERATIONS FOR SURVEYS DURING COVID-19 PANDEMIC</w:t>
            </w:r>
            <w:r w:rsidR="00ED3575">
              <w:rPr>
                <w:noProof/>
                <w:webHidden/>
              </w:rPr>
              <w:tab/>
            </w:r>
            <w:r w:rsidR="007A217F">
              <w:rPr>
                <w:noProof/>
                <w:webHidden/>
              </w:rPr>
              <w:fldChar w:fldCharType="begin"/>
            </w:r>
            <w:r w:rsidR="00ED3575">
              <w:rPr>
                <w:noProof/>
                <w:webHidden/>
              </w:rPr>
              <w:instrText xml:space="preserve"> PAGEREF _Toc53960797 \h </w:instrText>
            </w:r>
            <w:r w:rsidR="007A217F">
              <w:rPr>
                <w:noProof/>
                <w:webHidden/>
              </w:rPr>
            </w:r>
            <w:r w:rsidR="007A217F">
              <w:rPr>
                <w:noProof/>
                <w:webHidden/>
              </w:rPr>
              <w:fldChar w:fldCharType="separate"/>
            </w:r>
            <w:r w:rsidR="00ED3575">
              <w:rPr>
                <w:noProof/>
                <w:webHidden/>
              </w:rPr>
              <w:t>19</w:t>
            </w:r>
            <w:r w:rsidR="007A217F">
              <w:rPr>
                <w:noProof/>
                <w:webHidden/>
              </w:rPr>
              <w:fldChar w:fldCharType="end"/>
            </w:r>
          </w:hyperlink>
        </w:p>
        <w:p w14:paraId="672F4B15" w14:textId="77777777" w:rsidR="00ED3575" w:rsidRDefault="0089553A">
          <w:pPr>
            <w:pStyle w:val="TOC1"/>
            <w:tabs>
              <w:tab w:val="right" w:pos="9350"/>
            </w:tabs>
            <w:rPr>
              <w:rFonts w:asciiTheme="minorHAnsi" w:eastAsiaTheme="minorEastAsia" w:hAnsiTheme="minorHAnsi" w:cstheme="minorBidi"/>
              <w:noProof/>
              <w:sz w:val="22"/>
              <w:szCs w:val="22"/>
            </w:rPr>
          </w:pPr>
          <w:hyperlink w:anchor="_Toc53960798" w:history="1">
            <w:r w:rsidR="00ED3575" w:rsidRPr="004A0DCE">
              <w:rPr>
                <w:rStyle w:val="Hyperlink"/>
                <w:rFonts w:eastAsia="Calibri"/>
                <w:noProof/>
              </w:rPr>
              <w:t>SCHEDULE FOR COVERAGE SURVEY</w:t>
            </w:r>
            <w:r w:rsidR="00ED3575">
              <w:rPr>
                <w:noProof/>
                <w:webHidden/>
              </w:rPr>
              <w:tab/>
            </w:r>
            <w:r w:rsidR="007A217F">
              <w:rPr>
                <w:noProof/>
                <w:webHidden/>
              </w:rPr>
              <w:fldChar w:fldCharType="begin"/>
            </w:r>
            <w:r w:rsidR="00ED3575">
              <w:rPr>
                <w:noProof/>
                <w:webHidden/>
              </w:rPr>
              <w:instrText xml:space="preserve"> PAGEREF _Toc53960798 \h </w:instrText>
            </w:r>
            <w:r w:rsidR="007A217F">
              <w:rPr>
                <w:noProof/>
                <w:webHidden/>
              </w:rPr>
            </w:r>
            <w:r w:rsidR="007A217F">
              <w:rPr>
                <w:noProof/>
                <w:webHidden/>
              </w:rPr>
              <w:fldChar w:fldCharType="separate"/>
            </w:r>
            <w:r w:rsidR="00ED3575">
              <w:rPr>
                <w:noProof/>
                <w:webHidden/>
              </w:rPr>
              <w:t>20</w:t>
            </w:r>
            <w:r w:rsidR="007A217F">
              <w:rPr>
                <w:noProof/>
                <w:webHidden/>
              </w:rPr>
              <w:fldChar w:fldCharType="end"/>
            </w:r>
          </w:hyperlink>
        </w:p>
        <w:p w14:paraId="1C604D62" w14:textId="77777777" w:rsidR="00ED3575" w:rsidRDefault="0089553A">
          <w:pPr>
            <w:pStyle w:val="TOC1"/>
            <w:tabs>
              <w:tab w:val="right" w:pos="9350"/>
            </w:tabs>
            <w:rPr>
              <w:rFonts w:asciiTheme="minorHAnsi" w:eastAsiaTheme="minorEastAsia" w:hAnsiTheme="minorHAnsi" w:cstheme="minorBidi"/>
              <w:noProof/>
              <w:sz w:val="22"/>
              <w:szCs w:val="22"/>
            </w:rPr>
          </w:pPr>
          <w:hyperlink w:anchor="_Toc53960799" w:history="1">
            <w:r w:rsidR="00ED3575" w:rsidRPr="004A0DCE">
              <w:rPr>
                <w:rStyle w:val="Hyperlink"/>
                <w:noProof/>
              </w:rPr>
              <w:t>Annex 1: Schedule of the 2020 SMC coverage survey in the states</w:t>
            </w:r>
            <w:r w:rsidR="00ED3575">
              <w:rPr>
                <w:noProof/>
                <w:webHidden/>
              </w:rPr>
              <w:tab/>
            </w:r>
            <w:r w:rsidR="007A217F">
              <w:rPr>
                <w:noProof/>
                <w:webHidden/>
              </w:rPr>
              <w:fldChar w:fldCharType="begin"/>
            </w:r>
            <w:r w:rsidR="00ED3575">
              <w:rPr>
                <w:noProof/>
                <w:webHidden/>
              </w:rPr>
              <w:instrText xml:space="preserve"> PAGEREF _Toc53960799 \h </w:instrText>
            </w:r>
            <w:r w:rsidR="007A217F">
              <w:rPr>
                <w:noProof/>
                <w:webHidden/>
              </w:rPr>
            </w:r>
            <w:r w:rsidR="007A217F">
              <w:rPr>
                <w:noProof/>
                <w:webHidden/>
              </w:rPr>
              <w:fldChar w:fldCharType="separate"/>
            </w:r>
            <w:r w:rsidR="00ED3575">
              <w:rPr>
                <w:noProof/>
                <w:webHidden/>
              </w:rPr>
              <w:t>21</w:t>
            </w:r>
            <w:r w:rsidR="007A217F">
              <w:rPr>
                <w:noProof/>
                <w:webHidden/>
              </w:rPr>
              <w:fldChar w:fldCharType="end"/>
            </w:r>
          </w:hyperlink>
        </w:p>
        <w:p w14:paraId="35855988" w14:textId="77777777" w:rsidR="00ED3575" w:rsidRDefault="0089553A">
          <w:pPr>
            <w:pStyle w:val="TOC1"/>
            <w:tabs>
              <w:tab w:val="right" w:pos="9350"/>
            </w:tabs>
            <w:rPr>
              <w:rFonts w:asciiTheme="minorHAnsi" w:eastAsiaTheme="minorEastAsia" w:hAnsiTheme="minorHAnsi" w:cstheme="minorBidi"/>
              <w:noProof/>
              <w:sz w:val="22"/>
              <w:szCs w:val="22"/>
            </w:rPr>
          </w:pPr>
          <w:hyperlink w:anchor="_Toc53960800" w:history="1">
            <w:r w:rsidR="00ED3575" w:rsidRPr="004A0DCE">
              <w:rPr>
                <w:rStyle w:val="Hyperlink"/>
                <w:noProof/>
              </w:rPr>
              <w:t>Annex 2: Sample SMC Coverage Survey Questionnaire</w:t>
            </w:r>
            <w:r w:rsidR="00ED3575">
              <w:rPr>
                <w:noProof/>
                <w:webHidden/>
              </w:rPr>
              <w:tab/>
            </w:r>
            <w:r w:rsidR="007A217F">
              <w:rPr>
                <w:noProof/>
                <w:webHidden/>
              </w:rPr>
              <w:fldChar w:fldCharType="begin"/>
            </w:r>
            <w:r w:rsidR="00ED3575">
              <w:rPr>
                <w:noProof/>
                <w:webHidden/>
              </w:rPr>
              <w:instrText xml:space="preserve"> PAGEREF _Toc53960800 \h </w:instrText>
            </w:r>
            <w:r w:rsidR="007A217F">
              <w:rPr>
                <w:noProof/>
                <w:webHidden/>
              </w:rPr>
            </w:r>
            <w:r w:rsidR="007A217F">
              <w:rPr>
                <w:noProof/>
                <w:webHidden/>
              </w:rPr>
              <w:fldChar w:fldCharType="separate"/>
            </w:r>
            <w:r w:rsidR="00ED3575">
              <w:rPr>
                <w:noProof/>
                <w:webHidden/>
              </w:rPr>
              <w:t>21</w:t>
            </w:r>
            <w:r w:rsidR="007A217F">
              <w:rPr>
                <w:noProof/>
                <w:webHidden/>
              </w:rPr>
              <w:fldChar w:fldCharType="end"/>
            </w:r>
          </w:hyperlink>
        </w:p>
        <w:p w14:paraId="57C88155" w14:textId="77777777" w:rsidR="00ED3575" w:rsidRDefault="0089553A">
          <w:pPr>
            <w:pStyle w:val="TOC1"/>
            <w:tabs>
              <w:tab w:val="right" w:pos="9350"/>
            </w:tabs>
            <w:rPr>
              <w:rFonts w:asciiTheme="minorHAnsi" w:eastAsiaTheme="minorEastAsia" w:hAnsiTheme="minorHAnsi" w:cstheme="minorBidi"/>
              <w:noProof/>
              <w:sz w:val="22"/>
              <w:szCs w:val="22"/>
            </w:rPr>
          </w:pPr>
          <w:hyperlink w:anchor="_Toc53960801" w:history="1">
            <w:r w:rsidR="00ED3575" w:rsidRPr="004A0DCE">
              <w:rPr>
                <w:rStyle w:val="Hyperlink"/>
                <w:rFonts w:eastAsia="Calibri"/>
                <w:noProof/>
              </w:rPr>
              <w:t>Annex 3: SMC &amp; COVID-19 Operational Guidance</w:t>
            </w:r>
            <w:r w:rsidR="00ED3575">
              <w:rPr>
                <w:noProof/>
                <w:webHidden/>
              </w:rPr>
              <w:tab/>
            </w:r>
            <w:r w:rsidR="007A217F">
              <w:rPr>
                <w:noProof/>
                <w:webHidden/>
              </w:rPr>
              <w:fldChar w:fldCharType="begin"/>
            </w:r>
            <w:r w:rsidR="00ED3575">
              <w:rPr>
                <w:noProof/>
                <w:webHidden/>
              </w:rPr>
              <w:instrText xml:space="preserve"> PAGEREF _Toc53960801 \h </w:instrText>
            </w:r>
            <w:r w:rsidR="007A217F">
              <w:rPr>
                <w:noProof/>
                <w:webHidden/>
              </w:rPr>
            </w:r>
            <w:r w:rsidR="007A217F">
              <w:rPr>
                <w:noProof/>
                <w:webHidden/>
              </w:rPr>
              <w:fldChar w:fldCharType="separate"/>
            </w:r>
            <w:r w:rsidR="00ED3575">
              <w:rPr>
                <w:noProof/>
                <w:webHidden/>
              </w:rPr>
              <w:t>25</w:t>
            </w:r>
            <w:r w:rsidR="007A217F">
              <w:rPr>
                <w:noProof/>
                <w:webHidden/>
              </w:rPr>
              <w:fldChar w:fldCharType="end"/>
            </w:r>
          </w:hyperlink>
        </w:p>
        <w:p w14:paraId="42168C4B" w14:textId="77777777" w:rsidR="00A53502" w:rsidRPr="00F53B4A" w:rsidRDefault="007A217F">
          <w:r w:rsidRPr="00F53B4A">
            <w:fldChar w:fldCharType="end"/>
          </w:r>
        </w:p>
      </w:sdtContent>
    </w:sdt>
    <w:p w14:paraId="76110118" w14:textId="77777777" w:rsidR="00A53502" w:rsidRPr="00F53B4A" w:rsidRDefault="00352830">
      <w:pPr>
        <w:spacing w:line="240" w:lineRule="auto"/>
        <w:jc w:val="left"/>
        <w:rPr>
          <w:rFonts w:eastAsia="Calibri"/>
          <w:b/>
          <w:color w:val="0067AB"/>
        </w:rPr>
      </w:pPr>
      <w:r w:rsidRPr="00F53B4A">
        <w:br w:type="page"/>
      </w:r>
    </w:p>
    <w:p w14:paraId="0563EC7C" w14:textId="77777777" w:rsidR="00782AA9" w:rsidRDefault="00782AA9" w:rsidP="00782AA9">
      <w:pPr>
        <w:pStyle w:val="Heading1"/>
      </w:pPr>
      <w:bookmarkStart w:id="2" w:name="_Toc53960775"/>
      <w:bookmarkStart w:id="3" w:name="_Hlk516238092"/>
      <w:r>
        <w:lastRenderedPageBreak/>
        <w:t>ACKNOWLEDGEMENTS</w:t>
      </w:r>
      <w:bookmarkEnd w:id="2"/>
    </w:p>
    <w:p w14:paraId="657400C6" w14:textId="23467303" w:rsidR="00782AA9" w:rsidRPr="004813F0" w:rsidRDefault="00AF3EF4" w:rsidP="00782AA9">
      <w:r>
        <w:t>We express our p</w:t>
      </w:r>
      <w:r w:rsidR="00782AA9" w:rsidRPr="004813F0">
        <w:t xml:space="preserve">rofound gratitude to the Honourable Minister of Health, Dr </w:t>
      </w:r>
      <w:r w:rsidR="00782AA9" w:rsidRPr="004813F0">
        <w:rPr>
          <w:bCs/>
          <w:color w:val="202122"/>
          <w:shd w:val="clear" w:color="auto" w:fill="FFFFFF"/>
        </w:rPr>
        <w:t>Osagie Emmanuel Ehanire,</w:t>
      </w:r>
      <w:r w:rsidR="00782AA9" w:rsidRPr="004813F0">
        <w:t xml:space="preserve"> for his vision of a malaria free nation and all principal officers in the Federal Ministry of Health and the National Malaria Elimination Programme for championing the malaria-free Nigeria vision. Further commendations to the Commissioners of Health, the Directors of Public Health and the Programme Managers of the implementing states at the time of developing this national protocol (Bauchi, Borno, Jigawa, Kano, Katsina, Kebbi, Sokoto, Yobe, and Zamfara States)</w:t>
      </w:r>
    </w:p>
    <w:p w14:paraId="2E4EA0D2" w14:textId="77777777" w:rsidR="00782AA9" w:rsidRPr="004813F0" w:rsidRDefault="00782AA9" w:rsidP="00782AA9">
      <w:r w:rsidRPr="004813F0">
        <w:t xml:space="preserve">Funding and technical support for the development of this protocol was provided from Malaria Consortium’s philanthropic funding for Seasonal Malaria Chemoprevention (SMC). </w:t>
      </w:r>
    </w:p>
    <w:p w14:paraId="197C598E" w14:textId="77777777" w:rsidR="00782AA9" w:rsidRPr="004813F0" w:rsidRDefault="00782AA9" w:rsidP="00782AA9">
      <w:pPr>
        <w:rPr>
          <w:b/>
        </w:rPr>
      </w:pPr>
    </w:p>
    <w:p w14:paraId="52845814" w14:textId="77777777" w:rsidR="00782AA9" w:rsidRPr="004813F0" w:rsidRDefault="00782AA9" w:rsidP="00782AA9">
      <w:pPr>
        <w:rPr>
          <w:b/>
        </w:rPr>
      </w:pPr>
      <w:r w:rsidRPr="004813F0">
        <w:rPr>
          <w:b/>
        </w:rPr>
        <w:t>List of Contributors</w:t>
      </w:r>
    </w:p>
    <w:p w14:paraId="3A33D9A6" w14:textId="4C2E761F" w:rsidR="00782AA9" w:rsidRPr="004813F0" w:rsidRDefault="00782AA9" w:rsidP="00782AA9">
      <w:pPr>
        <w:pStyle w:val="ListParagraph"/>
        <w:numPr>
          <w:ilvl w:val="0"/>
          <w:numId w:val="30"/>
        </w:numPr>
        <w:jc w:val="both"/>
        <w:rPr>
          <w:rFonts w:ascii="Times New Roman" w:hAnsi="Times New Roman" w:cs="Times New Roman"/>
          <w:szCs w:val="24"/>
        </w:rPr>
      </w:pPr>
      <w:r w:rsidRPr="004813F0">
        <w:rPr>
          <w:rFonts w:ascii="Times New Roman" w:hAnsi="Times New Roman" w:cs="Times New Roman"/>
          <w:szCs w:val="24"/>
        </w:rPr>
        <w:t>Dr Nne</w:t>
      </w:r>
      <w:r w:rsidR="004E651D">
        <w:rPr>
          <w:rFonts w:ascii="Times New Roman" w:hAnsi="Times New Roman" w:cs="Times New Roman"/>
          <w:szCs w:val="24"/>
        </w:rPr>
        <w:t>n</w:t>
      </w:r>
      <w:r w:rsidRPr="004813F0">
        <w:rPr>
          <w:rFonts w:ascii="Times New Roman" w:hAnsi="Times New Roman" w:cs="Times New Roman"/>
          <w:szCs w:val="24"/>
        </w:rPr>
        <w:t>na</w:t>
      </w:r>
      <w:r w:rsidR="00E75729">
        <w:rPr>
          <w:rFonts w:ascii="Times New Roman" w:hAnsi="Times New Roman" w:cs="Times New Roman"/>
          <w:szCs w:val="24"/>
        </w:rPr>
        <w:t xml:space="preserve"> </w:t>
      </w:r>
      <w:r w:rsidRPr="004813F0">
        <w:rPr>
          <w:rFonts w:ascii="Times New Roman" w:hAnsi="Times New Roman" w:cs="Times New Roman"/>
          <w:szCs w:val="24"/>
        </w:rPr>
        <w:t>Og</w:t>
      </w:r>
      <w:r w:rsidR="00E834B9">
        <w:rPr>
          <w:rFonts w:ascii="Times New Roman" w:hAnsi="Times New Roman" w:cs="Times New Roman"/>
          <w:szCs w:val="24"/>
        </w:rPr>
        <w:t>b</w:t>
      </w:r>
      <w:r w:rsidRPr="004813F0">
        <w:rPr>
          <w:rFonts w:ascii="Times New Roman" w:hAnsi="Times New Roman" w:cs="Times New Roman"/>
          <w:szCs w:val="24"/>
        </w:rPr>
        <w:t>ulafor, Head of Case Management Branch, NMEP</w:t>
      </w:r>
    </w:p>
    <w:p w14:paraId="72317BBC" w14:textId="7D5B1E31" w:rsidR="00782AA9" w:rsidRDefault="00782AA9" w:rsidP="00782AA9">
      <w:pPr>
        <w:pStyle w:val="ListParagraph"/>
        <w:numPr>
          <w:ilvl w:val="0"/>
          <w:numId w:val="30"/>
        </w:numPr>
        <w:jc w:val="both"/>
        <w:rPr>
          <w:rFonts w:ascii="Times New Roman" w:hAnsi="Times New Roman" w:cs="Times New Roman"/>
          <w:szCs w:val="24"/>
        </w:rPr>
      </w:pPr>
      <w:r w:rsidRPr="004813F0">
        <w:rPr>
          <w:rFonts w:ascii="Times New Roman" w:hAnsi="Times New Roman" w:cs="Times New Roman"/>
          <w:szCs w:val="24"/>
        </w:rPr>
        <w:t xml:space="preserve">Dr </w:t>
      </w:r>
      <w:r w:rsidR="00E834B9" w:rsidRPr="00E834B9">
        <w:rPr>
          <w:rFonts w:ascii="Times New Roman" w:hAnsi="Times New Roman" w:cs="Times New Roman"/>
          <w:szCs w:val="24"/>
        </w:rPr>
        <w:t>Perpetua Uhomoibhi</w:t>
      </w:r>
      <w:r w:rsidRPr="004813F0">
        <w:rPr>
          <w:rFonts w:ascii="Times New Roman" w:hAnsi="Times New Roman" w:cs="Times New Roman"/>
          <w:szCs w:val="24"/>
        </w:rPr>
        <w:t xml:space="preserve">, </w:t>
      </w:r>
      <w:r w:rsidR="00E75729">
        <w:rPr>
          <w:rFonts w:ascii="Times New Roman" w:hAnsi="Times New Roman" w:cs="Times New Roman"/>
          <w:szCs w:val="24"/>
        </w:rPr>
        <w:t>Director/</w:t>
      </w:r>
      <w:r w:rsidRPr="004813F0">
        <w:rPr>
          <w:rFonts w:ascii="Times New Roman" w:hAnsi="Times New Roman" w:cs="Times New Roman"/>
          <w:szCs w:val="24"/>
        </w:rPr>
        <w:t>Head Monitoring and Evaluation Branch, NMEP</w:t>
      </w:r>
    </w:p>
    <w:p w14:paraId="6F64D19B" w14:textId="77777777" w:rsidR="002627B6" w:rsidRPr="002627B6" w:rsidRDefault="002627B6" w:rsidP="002627B6">
      <w:pPr>
        <w:pStyle w:val="ListParagraph"/>
        <w:numPr>
          <w:ilvl w:val="0"/>
          <w:numId w:val="30"/>
        </w:numPr>
        <w:jc w:val="both"/>
        <w:rPr>
          <w:rFonts w:ascii="Times New Roman" w:hAnsi="Times New Roman" w:cs="Times New Roman"/>
          <w:szCs w:val="24"/>
        </w:rPr>
      </w:pPr>
      <w:r>
        <w:rPr>
          <w:rFonts w:ascii="Times New Roman" w:hAnsi="Times New Roman" w:cs="Times New Roman"/>
          <w:szCs w:val="24"/>
        </w:rPr>
        <w:t xml:space="preserve">Festus Okoh, Deputy Director, </w:t>
      </w:r>
      <w:r w:rsidRPr="004813F0">
        <w:rPr>
          <w:rFonts w:ascii="Times New Roman" w:hAnsi="Times New Roman" w:cs="Times New Roman"/>
          <w:szCs w:val="24"/>
        </w:rPr>
        <w:t>Monitoring and Evaluation Branch, NMEP</w:t>
      </w:r>
    </w:p>
    <w:p w14:paraId="09CA2052" w14:textId="77777777" w:rsidR="00782AA9" w:rsidRPr="004813F0" w:rsidRDefault="00782AA9" w:rsidP="00782AA9">
      <w:pPr>
        <w:pStyle w:val="ListParagraph"/>
        <w:numPr>
          <w:ilvl w:val="0"/>
          <w:numId w:val="30"/>
        </w:numPr>
        <w:jc w:val="both"/>
        <w:rPr>
          <w:rFonts w:ascii="Times New Roman" w:hAnsi="Times New Roman" w:cs="Times New Roman"/>
          <w:szCs w:val="24"/>
        </w:rPr>
      </w:pPr>
      <w:r w:rsidRPr="004813F0">
        <w:rPr>
          <w:rFonts w:ascii="Times New Roman" w:hAnsi="Times New Roman" w:cs="Times New Roman"/>
          <w:color w:val="323130"/>
          <w:szCs w:val="24"/>
          <w:shd w:val="clear" w:color="auto" w:fill="FFFFFF"/>
        </w:rPr>
        <w:t>Dr Jamilu Ibrahim Nikau, Senior Programme Officer, NMEP-GF-PMU</w:t>
      </w:r>
    </w:p>
    <w:p w14:paraId="2A46AAC1" w14:textId="77777777" w:rsidR="00782AA9" w:rsidRPr="004813F0" w:rsidRDefault="00782AA9" w:rsidP="00782AA9">
      <w:pPr>
        <w:pStyle w:val="ListParagraph"/>
        <w:numPr>
          <w:ilvl w:val="0"/>
          <w:numId w:val="30"/>
        </w:numPr>
        <w:jc w:val="both"/>
        <w:rPr>
          <w:rFonts w:ascii="Times New Roman" w:hAnsi="Times New Roman" w:cs="Times New Roman"/>
          <w:szCs w:val="24"/>
        </w:rPr>
      </w:pPr>
      <w:r w:rsidRPr="004813F0">
        <w:rPr>
          <w:rFonts w:ascii="Times New Roman" w:hAnsi="Times New Roman" w:cs="Times New Roman"/>
          <w:szCs w:val="24"/>
        </w:rPr>
        <w:t xml:space="preserve">Dr </w:t>
      </w:r>
      <w:r w:rsidRPr="004813F0">
        <w:rPr>
          <w:rFonts w:ascii="Times New Roman" w:hAnsi="Times New Roman" w:cs="Times New Roman"/>
          <w:color w:val="201F1E"/>
          <w:szCs w:val="24"/>
          <w:shd w:val="clear" w:color="auto" w:fill="FFFFFF"/>
        </w:rPr>
        <w:t>Emmanuel </w:t>
      </w:r>
      <w:r w:rsidRPr="004813F0">
        <w:rPr>
          <w:rFonts w:ascii="Times New Roman" w:hAnsi="Times New Roman" w:cs="Times New Roman"/>
          <w:szCs w:val="24"/>
        </w:rPr>
        <w:t xml:space="preserve">Shekarau, Case Management Branch, NMEP </w:t>
      </w:r>
    </w:p>
    <w:p w14:paraId="74117418" w14:textId="77777777" w:rsidR="00782AA9" w:rsidRPr="004813F0" w:rsidRDefault="00782AA9" w:rsidP="00782AA9">
      <w:pPr>
        <w:pStyle w:val="ListParagraph"/>
        <w:numPr>
          <w:ilvl w:val="0"/>
          <w:numId w:val="30"/>
        </w:numPr>
        <w:jc w:val="both"/>
        <w:rPr>
          <w:rFonts w:ascii="Times New Roman" w:hAnsi="Times New Roman" w:cs="Times New Roman"/>
          <w:szCs w:val="24"/>
        </w:rPr>
      </w:pPr>
      <w:r w:rsidRPr="004813F0">
        <w:rPr>
          <w:rFonts w:ascii="Times New Roman" w:hAnsi="Times New Roman" w:cs="Times New Roman"/>
          <w:szCs w:val="24"/>
        </w:rPr>
        <w:t>Dr Aminu Haruna, Monitoring and Evaluation Branch, NMEP</w:t>
      </w:r>
    </w:p>
    <w:p w14:paraId="5C9FAF95" w14:textId="77777777" w:rsidR="00782AA9" w:rsidRPr="004813F0" w:rsidRDefault="00782AA9" w:rsidP="00782AA9">
      <w:pPr>
        <w:pStyle w:val="ListParagraph"/>
        <w:numPr>
          <w:ilvl w:val="0"/>
          <w:numId w:val="30"/>
        </w:numPr>
        <w:jc w:val="both"/>
        <w:rPr>
          <w:rFonts w:ascii="Times New Roman" w:hAnsi="Times New Roman" w:cs="Times New Roman"/>
          <w:szCs w:val="24"/>
        </w:rPr>
      </w:pPr>
      <w:r w:rsidRPr="004813F0">
        <w:rPr>
          <w:rFonts w:ascii="Times New Roman" w:hAnsi="Times New Roman" w:cs="Times New Roman"/>
          <w:szCs w:val="24"/>
        </w:rPr>
        <w:t>Olatunde Adesoro, Programme Director (SMC) Malaria Consortium</w:t>
      </w:r>
    </w:p>
    <w:p w14:paraId="751FD280" w14:textId="77777777" w:rsidR="00782AA9" w:rsidRPr="004813F0" w:rsidRDefault="00782AA9" w:rsidP="00782AA9">
      <w:pPr>
        <w:pStyle w:val="ListParagraph"/>
        <w:numPr>
          <w:ilvl w:val="0"/>
          <w:numId w:val="30"/>
        </w:numPr>
        <w:jc w:val="both"/>
        <w:rPr>
          <w:rFonts w:ascii="Times New Roman" w:hAnsi="Times New Roman" w:cs="Times New Roman"/>
          <w:szCs w:val="24"/>
        </w:rPr>
      </w:pPr>
      <w:r w:rsidRPr="004813F0">
        <w:rPr>
          <w:rFonts w:ascii="Times New Roman" w:hAnsi="Times New Roman" w:cs="Times New Roman"/>
          <w:szCs w:val="24"/>
        </w:rPr>
        <w:t>Dr Olusola Oresanya, Country Technical Coordinator, Malaria Consortium</w:t>
      </w:r>
    </w:p>
    <w:p w14:paraId="60DB5D80" w14:textId="77777777" w:rsidR="00782AA9" w:rsidRPr="00691D2D" w:rsidRDefault="007A217F" w:rsidP="00782AA9">
      <w:pPr>
        <w:pStyle w:val="ListParagraph"/>
        <w:numPr>
          <w:ilvl w:val="0"/>
          <w:numId w:val="30"/>
        </w:numPr>
        <w:jc w:val="both"/>
        <w:rPr>
          <w:rFonts w:ascii="Times New Roman" w:hAnsi="Times New Roman" w:cs="Times New Roman"/>
          <w:szCs w:val="24"/>
          <w:lang w:val="fr-FR"/>
        </w:rPr>
      </w:pPr>
      <w:r w:rsidRPr="00691D2D">
        <w:rPr>
          <w:rFonts w:ascii="Times New Roman" w:hAnsi="Times New Roman" w:cs="Times New Roman"/>
          <w:szCs w:val="24"/>
          <w:lang w:val="fr-FR"/>
        </w:rPr>
        <w:t>Dr Sol Richardson, Epidemiologist, Malaria Consortium</w:t>
      </w:r>
    </w:p>
    <w:p w14:paraId="5A9EF202" w14:textId="77777777" w:rsidR="00782AA9" w:rsidRPr="004813F0" w:rsidRDefault="00782AA9" w:rsidP="00782AA9">
      <w:pPr>
        <w:pStyle w:val="ListParagraph"/>
        <w:numPr>
          <w:ilvl w:val="0"/>
          <w:numId w:val="30"/>
        </w:numPr>
        <w:jc w:val="both"/>
        <w:rPr>
          <w:rFonts w:ascii="Times New Roman" w:hAnsi="Times New Roman" w:cs="Times New Roman"/>
          <w:szCs w:val="24"/>
        </w:rPr>
      </w:pPr>
      <w:r w:rsidRPr="004813F0">
        <w:rPr>
          <w:rFonts w:ascii="Times New Roman" w:hAnsi="Times New Roman" w:cs="Times New Roman"/>
          <w:szCs w:val="24"/>
        </w:rPr>
        <w:t>Dr Abimbola Phillips, Research Specialist, Malaria Consortium</w:t>
      </w:r>
    </w:p>
    <w:p w14:paraId="1EB70FE5" w14:textId="77777777" w:rsidR="00782AA9" w:rsidRDefault="00782AA9" w:rsidP="00782AA9">
      <w:pPr>
        <w:pStyle w:val="ListParagraph"/>
        <w:numPr>
          <w:ilvl w:val="0"/>
          <w:numId w:val="30"/>
        </w:numPr>
        <w:jc w:val="both"/>
        <w:rPr>
          <w:rFonts w:ascii="Times New Roman" w:hAnsi="Times New Roman" w:cs="Times New Roman"/>
          <w:szCs w:val="24"/>
        </w:rPr>
      </w:pPr>
      <w:r w:rsidRPr="004813F0">
        <w:rPr>
          <w:rFonts w:ascii="Times New Roman" w:hAnsi="Times New Roman" w:cs="Times New Roman"/>
          <w:szCs w:val="24"/>
        </w:rPr>
        <w:t>Jane Onyilo, Monitoring and Evaluation Manager, Malaria Consortium</w:t>
      </w:r>
    </w:p>
    <w:p w14:paraId="6FE97D82" w14:textId="77777777" w:rsidR="00634A9D" w:rsidRPr="00634A9D" w:rsidRDefault="00634A9D" w:rsidP="00634A9D">
      <w:pPr>
        <w:pStyle w:val="ListParagraph"/>
        <w:numPr>
          <w:ilvl w:val="0"/>
          <w:numId w:val="30"/>
        </w:numPr>
        <w:jc w:val="both"/>
        <w:rPr>
          <w:rFonts w:ascii="Times New Roman" w:hAnsi="Times New Roman" w:cs="Times New Roman"/>
          <w:szCs w:val="24"/>
        </w:rPr>
      </w:pPr>
      <w:r w:rsidRPr="004813F0">
        <w:rPr>
          <w:rFonts w:ascii="Times New Roman" w:hAnsi="Times New Roman" w:cs="Times New Roman"/>
          <w:szCs w:val="24"/>
        </w:rPr>
        <w:t>Dr Ibrahim Maikore, W</w:t>
      </w:r>
      <w:r w:rsidR="00833DBA">
        <w:rPr>
          <w:rFonts w:ascii="Times New Roman" w:hAnsi="Times New Roman" w:cs="Times New Roman"/>
          <w:szCs w:val="24"/>
        </w:rPr>
        <w:t xml:space="preserve">orld </w:t>
      </w:r>
      <w:r w:rsidRPr="004813F0">
        <w:rPr>
          <w:rFonts w:ascii="Times New Roman" w:hAnsi="Times New Roman" w:cs="Times New Roman"/>
          <w:szCs w:val="24"/>
        </w:rPr>
        <w:t>H</w:t>
      </w:r>
      <w:r w:rsidR="00833DBA">
        <w:rPr>
          <w:rFonts w:ascii="Times New Roman" w:hAnsi="Times New Roman" w:cs="Times New Roman"/>
          <w:szCs w:val="24"/>
        </w:rPr>
        <w:t xml:space="preserve">ealth </w:t>
      </w:r>
      <w:r w:rsidRPr="004813F0">
        <w:rPr>
          <w:rFonts w:ascii="Times New Roman" w:hAnsi="Times New Roman" w:cs="Times New Roman"/>
          <w:szCs w:val="24"/>
        </w:rPr>
        <w:t>O</w:t>
      </w:r>
      <w:r w:rsidR="00833DBA">
        <w:rPr>
          <w:rFonts w:ascii="Times New Roman" w:hAnsi="Times New Roman" w:cs="Times New Roman"/>
          <w:szCs w:val="24"/>
        </w:rPr>
        <w:t xml:space="preserve">rganisation </w:t>
      </w:r>
    </w:p>
    <w:p w14:paraId="6B80E2B4" w14:textId="77777777" w:rsidR="00782AA9" w:rsidRDefault="00782AA9" w:rsidP="00782AA9">
      <w:pPr>
        <w:pStyle w:val="ListParagraph"/>
        <w:numPr>
          <w:ilvl w:val="0"/>
          <w:numId w:val="30"/>
        </w:numPr>
        <w:jc w:val="both"/>
        <w:rPr>
          <w:rFonts w:ascii="Times New Roman" w:hAnsi="Times New Roman" w:cs="Times New Roman"/>
          <w:szCs w:val="24"/>
        </w:rPr>
      </w:pPr>
      <w:r w:rsidRPr="004813F0">
        <w:rPr>
          <w:rFonts w:ascii="Times New Roman" w:hAnsi="Times New Roman" w:cs="Times New Roman"/>
          <w:szCs w:val="24"/>
        </w:rPr>
        <w:t>Dr Uwem Inyang, Senior Malaria Program Specialist, USAID</w:t>
      </w:r>
    </w:p>
    <w:p w14:paraId="4A86049B" w14:textId="77777777" w:rsidR="00885EE1" w:rsidRDefault="00885EE1" w:rsidP="00885EE1">
      <w:pPr>
        <w:pStyle w:val="ListParagraph"/>
        <w:numPr>
          <w:ilvl w:val="0"/>
          <w:numId w:val="30"/>
        </w:numPr>
        <w:jc w:val="both"/>
        <w:rPr>
          <w:rFonts w:ascii="Times New Roman" w:hAnsi="Times New Roman" w:cs="Times New Roman"/>
          <w:szCs w:val="24"/>
        </w:rPr>
      </w:pPr>
      <w:r w:rsidRPr="004813F0">
        <w:rPr>
          <w:rFonts w:ascii="Times New Roman" w:hAnsi="Times New Roman" w:cs="Times New Roman"/>
          <w:szCs w:val="24"/>
        </w:rPr>
        <w:t>Dr Abimbola Olayemi, Management Sciences for Health</w:t>
      </w:r>
    </w:p>
    <w:p w14:paraId="126B99D5" w14:textId="2BA241C0" w:rsidR="00885EE1" w:rsidRPr="00885EE1" w:rsidRDefault="00885EE1" w:rsidP="00885EE1">
      <w:pPr>
        <w:pStyle w:val="xmsonormal"/>
        <w:numPr>
          <w:ilvl w:val="0"/>
          <w:numId w:val="30"/>
        </w:numPr>
        <w:shd w:val="clear" w:color="auto" w:fill="FFFFFF"/>
        <w:spacing w:before="0" w:beforeAutospacing="0" w:after="0" w:afterAutospacing="0"/>
        <w:jc w:val="both"/>
      </w:pPr>
      <w:r w:rsidRPr="004813F0">
        <w:rPr>
          <w:bdr w:val="none" w:sz="0" w:space="0" w:color="auto" w:frame="1"/>
        </w:rPr>
        <w:t>Dr Chukwuyem</w:t>
      </w:r>
      <w:r w:rsidR="00E75729">
        <w:rPr>
          <w:bdr w:val="none" w:sz="0" w:space="0" w:color="auto" w:frame="1"/>
        </w:rPr>
        <w:t xml:space="preserve"> </w:t>
      </w:r>
      <w:r w:rsidRPr="004813F0">
        <w:rPr>
          <w:bdr w:val="none" w:sz="0" w:space="0" w:color="auto" w:frame="1"/>
        </w:rPr>
        <w:t>O</w:t>
      </w:r>
      <w:r>
        <w:rPr>
          <w:bdr w:val="none" w:sz="0" w:space="0" w:color="auto" w:frame="1"/>
        </w:rPr>
        <w:t>koh</w:t>
      </w:r>
      <w:r w:rsidRPr="004813F0">
        <w:rPr>
          <w:bdr w:val="none" w:sz="0" w:space="0" w:color="auto" w:frame="1"/>
        </w:rPr>
        <w:t>, Malaria Logistics Support Manager, USAID GHSC-PSM</w:t>
      </w:r>
    </w:p>
    <w:p w14:paraId="44F94CF5" w14:textId="77777777" w:rsidR="00782AA9" w:rsidRPr="004813F0" w:rsidRDefault="004E651D" w:rsidP="00782AA9">
      <w:pPr>
        <w:pStyle w:val="ListParagraph"/>
        <w:numPr>
          <w:ilvl w:val="0"/>
          <w:numId w:val="30"/>
        </w:numPr>
        <w:jc w:val="both"/>
        <w:rPr>
          <w:rFonts w:ascii="Times New Roman" w:hAnsi="Times New Roman" w:cs="Times New Roman"/>
          <w:szCs w:val="24"/>
        </w:rPr>
      </w:pPr>
      <w:r>
        <w:rPr>
          <w:rFonts w:ascii="Times New Roman" w:hAnsi="Times New Roman" w:cs="Times New Roman"/>
          <w:szCs w:val="24"/>
        </w:rPr>
        <w:t xml:space="preserve">Dr </w:t>
      </w:r>
      <w:r w:rsidR="00782AA9" w:rsidRPr="004813F0">
        <w:rPr>
          <w:rFonts w:ascii="Times New Roman" w:hAnsi="Times New Roman" w:cs="Times New Roman"/>
          <w:szCs w:val="24"/>
        </w:rPr>
        <w:t>Frank Oronsaye, Senior MEAL Manager, CRS</w:t>
      </w:r>
    </w:p>
    <w:p w14:paraId="2B0A1EE8" w14:textId="77777777" w:rsidR="00782AA9" w:rsidRPr="004813F0" w:rsidRDefault="00782AA9" w:rsidP="00782AA9">
      <w:pPr>
        <w:pStyle w:val="ListParagraph"/>
        <w:numPr>
          <w:ilvl w:val="0"/>
          <w:numId w:val="30"/>
        </w:numPr>
        <w:jc w:val="both"/>
        <w:rPr>
          <w:rFonts w:ascii="Times New Roman" w:hAnsi="Times New Roman" w:cs="Times New Roman"/>
          <w:szCs w:val="24"/>
        </w:rPr>
      </w:pPr>
      <w:r w:rsidRPr="004813F0">
        <w:rPr>
          <w:rFonts w:ascii="Times New Roman" w:hAnsi="Times New Roman" w:cs="Times New Roman"/>
          <w:szCs w:val="24"/>
        </w:rPr>
        <w:t>Akinola Shonde, Technical Malaria Specialist, CRS</w:t>
      </w:r>
    </w:p>
    <w:bookmarkEnd w:id="3"/>
    <w:p w14:paraId="3E508432" w14:textId="77777777" w:rsidR="00782AA9" w:rsidRDefault="00782AA9">
      <w:pPr>
        <w:rPr>
          <w:b/>
          <w:color w:val="0067AB"/>
          <w:szCs w:val="28"/>
        </w:rPr>
      </w:pPr>
      <w:r>
        <w:br w:type="page"/>
      </w:r>
    </w:p>
    <w:p w14:paraId="31EC4ACE" w14:textId="77777777" w:rsidR="00A53502" w:rsidRPr="00F53B4A" w:rsidRDefault="00352830" w:rsidP="00F53B4A">
      <w:pPr>
        <w:pStyle w:val="Heading1"/>
      </w:pPr>
      <w:bookmarkStart w:id="4" w:name="_Toc53960776"/>
      <w:r w:rsidRPr="00F53B4A">
        <w:lastRenderedPageBreak/>
        <w:t>ABBREVIATIONS AND ACRONYMS</w:t>
      </w:r>
      <w:bookmarkEnd w:id="4"/>
    </w:p>
    <w:p w14:paraId="50FE961B" w14:textId="77777777" w:rsidR="00A53502" w:rsidRPr="00F53B4A" w:rsidRDefault="00A53502">
      <w:pPr>
        <w:spacing w:line="240" w:lineRule="auto"/>
        <w:rPr>
          <w:rFonts w:eastAsia="Calibri"/>
          <w:color w:val="000000"/>
        </w:rPr>
      </w:pPr>
    </w:p>
    <w:tbl>
      <w:tblPr>
        <w:tblW w:w="7423" w:type="dxa"/>
        <w:tblCellMar>
          <w:left w:w="0" w:type="dxa"/>
          <w:right w:w="0" w:type="dxa"/>
        </w:tblCellMar>
        <w:tblLook w:val="04A0" w:firstRow="1" w:lastRow="0" w:firstColumn="1" w:lastColumn="0" w:noHBand="0" w:noVBand="1"/>
      </w:tblPr>
      <w:tblGrid>
        <w:gridCol w:w="960"/>
        <w:gridCol w:w="6463"/>
      </w:tblGrid>
      <w:tr w:rsidR="005720A3" w14:paraId="23654C9D" w14:textId="77777777" w:rsidTr="005720A3">
        <w:trPr>
          <w:trHeight w:val="290"/>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51D15868" w14:textId="77777777" w:rsidR="005720A3" w:rsidRPr="005720A3" w:rsidRDefault="005720A3" w:rsidP="005720A3">
            <w:pPr>
              <w:rPr>
                <w:color w:val="000000"/>
              </w:rPr>
            </w:pPr>
            <w:r w:rsidRPr="005720A3">
              <w:rPr>
                <w:color w:val="000000"/>
              </w:rPr>
              <w:t>AQ</w:t>
            </w:r>
          </w:p>
        </w:tc>
        <w:tc>
          <w:tcPr>
            <w:tcW w:w="6463" w:type="dxa"/>
            <w:tcBorders>
              <w:top w:val="nil"/>
              <w:left w:val="nil"/>
              <w:bottom w:val="nil"/>
              <w:right w:val="nil"/>
            </w:tcBorders>
            <w:shd w:val="clear" w:color="auto" w:fill="auto"/>
            <w:noWrap/>
            <w:tcMar>
              <w:top w:w="15" w:type="dxa"/>
              <w:left w:w="15" w:type="dxa"/>
              <w:bottom w:w="0" w:type="dxa"/>
              <w:right w:w="15" w:type="dxa"/>
            </w:tcMar>
            <w:vAlign w:val="bottom"/>
            <w:hideMark/>
          </w:tcPr>
          <w:p w14:paraId="67397C60" w14:textId="77777777" w:rsidR="005720A3" w:rsidRPr="005720A3" w:rsidRDefault="005720A3" w:rsidP="005720A3">
            <w:pPr>
              <w:rPr>
                <w:color w:val="000000"/>
              </w:rPr>
            </w:pPr>
            <w:r w:rsidRPr="005720A3">
              <w:rPr>
                <w:color w:val="000000"/>
              </w:rPr>
              <w:t xml:space="preserve">Amodiaquine </w:t>
            </w:r>
          </w:p>
        </w:tc>
      </w:tr>
      <w:tr w:rsidR="005720A3" w14:paraId="564BE9B8" w14:textId="77777777" w:rsidTr="005720A3">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38DF6E" w14:textId="77777777" w:rsidR="005720A3" w:rsidRPr="005720A3" w:rsidRDefault="005720A3" w:rsidP="005720A3">
            <w:pPr>
              <w:rPr>
                <w:color w:val="000000"/>
              </w:rPr>
            </w:pPr>
            <w:r w:rsidRPr="005720A3">
              <w:rPr>
                <w:color w:val="000000"/>
              </w:rPr>
              <w:t>CAPI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E041E0" w14:textId="77777777" w:rsidR="005720A3" w:rsidRPr="005720A3" w:rsidRDefault="005720A3" w:rsidP="005720A3">
            <w:pPr>
              <w:rPr>
                <w:color w:val="000000"/>
              </w:rPr>
            </w:pPr>
            <w:r w:rsidRPr="005720A3">
              <w:rPr>
                <w:color w:val="000000"/>
              </w:rPr>
              <w:t xml:space="preserve">Computer-assisted personal interviews </w:t>
            </w:r>
          </w:p>
        </w:tc>
      </w:tr>
      <w:tr w:rsidR="005720A3" w14:paraId="3BE54528" w14:textId="77777777" w:rsidTr="005720A3">
        <w:trPr>
          <w:trHeight w:val="31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521AAD" w14:textId="77777777" w:rsidR="005720A3" w:rsidRPr="005720A3" w:rsidRDefault="005720A3" w:rsidP="005720A3">
            <w:pPr>
              <w:rPr>
                <w:color w:val="000000"/>
              </w:rPr>
            </w:pPr>
            <w:r w:rsidRPr="005720A3">
              <w:rPr>
                <w:color w:val="000000"/>
              </w:rPr>
              <w:t>CDD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D628BB" w14:textId="77777777" w:rsidR="005720A3" w:rsidRPr="005720A3" w:rsidRDefault="005720A3" w:rsidP="005720A3">
            <w:pPr>
              <w:rPr>
                <w:color w:val="000000"/>
              </w:rPr>
            </w:pPr>
            <w:r w:rsidRPr="005720A3">
              <w:rPr>
                <w:color w:val="000000"/>
              </w:rPr>
              <w:t>Community Drug Distributors</w:t>
            </w:r>
          </w:p>
        </w:tc>
      </w:tr>
      <w:tr w:rsidR="005720A3" w14:paraId="173434CB" w14:textId="77777777" w:rsidTr="005720A3">
        <w:trPr>
          <w:trHeight w:val="31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9AE459" w14:textId="77777777" w:rsidR="005720A3" w:rsidRPr="005720A3" w:rsidRDefault="005720A3" w:rsidP="005720A3">
            <w:pPr>
              <w:rPr>
                <w:color w:val="000000"/>
              </w:rPr>
            </w:pPr>
            <w:r w:rsidRPr="005720A3">
              <w:rPr>
                <w:color w:val="000000"/>
              </w:rPr>
              <w:t>CI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371BDA" w14:textId="77777777" w:rsidR="005720A3" w:rsidRPr="005720A3" w:rsidRDefault="005720A3" w:rsidP="005720A3">
            <w:pPr>
              <w:rPr>
                <w:color w:val="000000"/>
              </w:rPr>
            </w:pPr>
            <w:r w:rsidRPr="005720A3">
              <w:rPr>
                <w:color w:val="000000"/>
              </w:rPr>
              <w:t xml:space="preserve">Confidence interval </w:t>
            </w:r>
          </w:p>
        </w:tc>
      </w:tr>
      <w:tr w:rsidR="005720A3" w14:paraId="7F68BB84" w14:textId="77777777" w:rsidTr="005720A3">
        <w:trPr>
          <w:trHeight w:val="31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DA04DF" w14:textId="77777777" w:rsidR="005720A3" w:rsidRPr="005720A3" w:rsidRDefault="005720A3" w:rsidP="005720A3">
            <w:pPr>
              <w:rPr>
                <w:color w:val="000000"/>
              </w:rPr>
            </w:pPr>
            <w:r w:rsidRPr="005720A3">
              <w:rPr>
                <w:color w:val="000000"/>
              </w:rPr>
              <w:t>DOT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F9C789" w14:textId="77777777" w:rsidR="005720A3" w:rsidRPr="005720A3" w:rsidRDefault="005720A3" w:rsidP="005720A3">
            <w:pPr>
              <w:rPr>
                <w:color w:val="000000"/>
              </w:rPr>
            </w:pPr>
            <w:r w:rsidRPr="005720A3">
              <w:rPr>
                <w:color w:val="000000"/>
              </w:rPr>
              <w:t xml:space="preserve">Directly observed treatment </w:t>
            </w:r>
          </w:p>
        </w:tc>
      </w:tr>
      <w:tr w:rsidR="005720A3" w14:paraId="1B8886BA" w14:textId="77777777" w:rsidTr="005720A3">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EEB4C1" w14:textId="77777777" w:rsidR="005720A3" w:rsidRPr="005720A3" w:rsidRDefault="005720A3" w:rsidP="005720A3">
            <w:pPr>
              <w:rPr>
                <w:color w:val="000000"/>
              </w:rPr>
            </w:pPr>
            <w:r w:rsidRPr="005720A3">
              <w:rPr>
                <w:color w:val="000000"/>
              </w:rPr>
              <w:t>EA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994F6B" w14:textId="77777777" w:rsidR="005720A3" w:rsidRPr="005720A3" w:rsidRDefault="005720A3" w:rsidP="005720A3">
            <w:pPr>
              <w:rPr>
                <w:color w:val="000000"/>
              </w:rPr>
            </w:pPr>
            <w:r w:rsidRPr="005720A3">
              <w:rPr>
                <w:color w:val="000000"/>
              </w:rPr>
              <w:t>Enumeration Area</w:t>
            </w:r>
          </w:p>
        </w:tc>
      </w:tr>
      <w:tr w:rsidR="005720A3" w14:paraId="6E31AF99" w14:textId="77777777" w:rsidTr="005720A3">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A552A7" w14:textId="77777777" w:rsidR="005720A3" w:rsidRPr="005720A3" w:rsidRDefault="005720A3" w:rsidP="005720A3">
            <w:pPr>
              <w:rPr>
                <w:color w:val="000000"/>
              </w:rPr>
            </w:pPr>
            <w:r w:rsidRPr="005720A3">
              <w:rPr>
                <w:color w:val="000000"/>
              </w:rPr>
              <w:t>ESS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60BCA3" w14:textId="77777777" w:rsidR="005720A3" w:rsidRPr="005720A3" w:rsidRDefault="005720A3" w:rsidP="005720A3">
            <w:pPr>
              <w:rPr>
                <w:color w:val="000000"/>
              </w:rPr>
            </w:pPr>
            <w:r w:rsidRPr="005720A3">
              <w:rPr>
                <w:color w:val="000000"/>
              </w:rPr>
              <w:t xml:space="preserve">Effective sample size </w:t>
            </w:r>
          </w:p>
        </w:tc>
      </w:tr>
      <w:tr w:rsidR="005720A3" w14:paraId="7D2847FF" w14:textId="77777777" w:rsidTr="005720A3">
        <w:trPr>
          <w:trHeight w:val="31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2A807D" w14:textId="77777777" w:rsidR="005720A3" w:rsidRPr="005720A3" w:rsidRDefault="005720A3" w:rsidP="005720A3">
            <w:pPr>
              <w:rPr>
                <w:color w:val="000000"/>
              </w:rPr>
            </w:pPr>
            <w:r w:rsidRPr="005720A3">
              <w:rPr>
                <w:color w:val="000000"/>
              </w:rPr>
              <w:t>GPS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8FF149" w14:textId="77777777" w:rsidR="005720A3" w:rsidRPr="005720A3" w:rsidRDefault="005720A3" w:rsidP="005720A3">
            <w:pPr>
              <w:rPr>
                <w:color w:val="000000"/>
              </w:rPr>
            </w:pPr>
            <w:r w:rsidRPr="005720A3">
              <w:rPr>
                <w:color w:val="000000"/>
              </w:rPr>
              <w:t>Geographical Positioning System</w:t>
            </w:r>
          </w:p>
        </w:tc>
      </w:tr>
      <w:tr w:rsidR="005720A3" w14:paraId="375F9344" w14:textId="77777777" w:rsidTr="005720A3">
        <w:trPr>
          <w:trHeight w:val="31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5F079D" w14:textId="77777777" w:rsidR="005720A3" w:rsidRPr="005720A3" w:rsidRDefault="005720A3" w:rsidP="005720A3">
            <w:pPr>
              <w:rPr>
                <w:color w:val="000000"/>
              </w:rPr>
            </w:pPr>
            <w:r w:rsidRPr="005720A3">
              <w:rPr>
                <w:color w:val="000000"/>
              </w:rPr>
              <w:t>HF</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B3BCD3" w14:textId="77777777" w:rsidR="005720A3" w:rsidRPr="005720A3" w:rsidRDefault="005720A3" w:rsidP="005720A3">
            <w:pPr>
              <w:rPr>
                <w:color w:val="000000"/>
              </w:rPr>
            </w:pPr>
            <w:r w:rsidRPr="005720A3">
              <w:rPr>
                <w:color w:val="000000"/>
              </w:rPr>
              <w:t xml:space="preserve">Health Facility </w:t>
            </w:r>
          </w:p>
        </w:tc>
      </w:tr>
      <w:tr w:rsidR="005720A3" w14:paraId="218EACD9" w14:textId="77777777" w:rsidTr="005720A3">
        <w:trPr>
          <w:trHeight w:val="31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A15C69" w14:textId="77777777" w:rsidR="005720A3" w:rsidRPr="005720A3" w:rsidRDefault="005720A3" w:rsidP="005720A3">
            <w:pPr>
              <w:rPr>
                <w:color w:val="000000"/>
              </w:rPr>
            </w:pPr>
            <w:r w:rsidRPr="005720A3">
              <w:rPr>
                <w:color w:val="000000"/>
              </w:rPr>
              <w:t>ICC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6317A4" w14:textId="77777777" w:rsidR="005720A3" w:rsidRPr="005720A3" w:rsidRDefault="005720A3" w:rsidP="005720A3">
            <w:pPr>
              <w:rPr>
                <w:color w:val="000000"/>
              </w:rPr>
            </w:pPr>
            <w:r w:rsidRPr="005720A3">
              <w:rPr>
                <w:color w:val="000000"/>
              </w:rPr>
              <w:t xml:space="preserve">Intra-cluster correlation </w:t>
            </w:r>
          </w:p>
        </w:tc>
      </w:tr>
      <w:tr w:rsidR="005720A3" w14:paraId="01087327" w14:textId="77777777" w:rsidTr="005720A3">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89B222" w14:textId="77777777" w:rsidR="005720A3" w:rsidRPr="005720A3" w:rsidRDefault="005720A3" w:rsidP="005720A3">
            <w:pPr>
              <w:rPr>
                <w:color w:val="000000"/>
              </w:rPr>
            </w:pPr>
            <w:r w:rsidRPr="005720A3">
              <w:rPr>
                <w:color w:val="000000"/>
              </w:rPr>
              <w:t>LGA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83B01F" w14:textId="77777777" w:rsidR="005720A3" w:rsidRPr="005720A3" w:rsidRDefault="005720A3" w:rsidP="005720A3">
            <w:pPr>
              <w:rPr>
                <w:color w:val="000000"/>
              </w:rPr>
            </w:pPr>
            <w:r w:rsidRPr="005720A3">
              <w:rPr>
                <w:color w:val="000000"/>
              </w:rPr>
              <w:t>Local Government Area</w:t>
            </w:r>
          </w:p>
        </w:tc>
      </w:tr>
      <w:tr w:rsidR="005720A3" w14:paraId="6EAAAD85" w14:textId="77777777" w:rsidTr="005720A3">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364322" w14:textId="77777777" w:rsidR="005720A3" w:rsidRPr="005720A3" w:rsidRDefault="005720A3" w:rsidP="005720A3">
            <w:pPr>
              <w:rPr>
                <w:color w:val="000000"/>
              </w:rPr>
            </w:pPr>
            <w:r w:rsidRPr="005720A3">
              <w:rPr>
                <w:color w:val="000000"/>
              </w:rPr>
              <w:t xml:space="preserve">LLIN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BA5063" w14:textId="77777777" w:rsidR="005720A3" w:rsidRPr="005720A3" w:rsidRDefault="005720A3" w:rsidP="005720A3">
            <w:pPr>
              <w:rPr>
                <w:color w:val="000000"/>
              </w:rPr>
            </w:pPr>
            <w:r w:rsidRPr="005720A3">
              <w:rPr>
                <w:color w:val="000000"/>
              </w:rPr>
              <w:t>Long-lasting insecticide nets</w:t>
            </w:r>
          </w:p>
        </w:tc>
      </w:tr>
      <w:tr w:rsidR="005720A3" w14:paraId="7F6F38E3" w14:textId="77777777" w:rsidTr="005720A3">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CFB311" w14:textId="77777777" w:rsidR="005720A3" w:rsidRPr="005720A3" w:rsidRDefault="005720A3" w:rsidP="005720A3">
            <w:pPr>
              <w:rPr>
                <w:color w:val="000000"/>
              </w:rPr>
            </w:pPr>
            <w:r w:rsidRPr="005720A3">
              <w:rPr>
                <w:color w:val="000000"/>
              </w:rPr>
              <w:t xml:space="preserve">M&amp;E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154E72" w14:textId="77777777" w:rsidR="005720A3" w:rsidRPr="005720A3" w:rsidRDefault="005720A3" w:rsidP="005720A3">
            <w:pPr>
              <w:rPr>
                <w:color w:val="000000"/>
              </w:rPr>
            </w:pPr>
            <w:r w:rsidRPr="005720A3">
              <w:rPr>
                <w:color w:val="000000"/>
              </w:rPr>
              <w:t xml:space="preserve">Monitoring and Evaluation </w:t>
            </w:r>
          </w:p>
        </w:tc>
      </w:tr>
      <w:tr w:rsidR="005720A3" w14:paraId="41DA8C49" w14:textId="77777777" w:rsidTr="005720A3">
        <w:trPr>
          <w:trHeight w:val="31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E6559F" w14:textId="77777777" w:rsidR="005720A3" w:rsidRPr="005720A3" w:rsidRDefault="005720A3" w:rsidP="005720A3">
            <w:pPr>
              <w:rPr>
                <w:color w:val="000000"/>
              </w:rPr>
            </w:pPr>
            <w:r w:rsidRPr="005720A3">
              <w:rPr>
                <w:color w:val="000000"/>
              </w:rPr>
              <w:t>NHREC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6FAA06" w14:textId="77777777" w:rsidR="005720A3" w:rsidRPr="005720A3" w:rsidRDefault="005720A3" w:rsidP="005720A3">
            <w:pPr>
              <w:rPr>
                <w:color w:val="000000"/>
              </w:rPr>
            </w:pPr>
            <w:r w:rsidRPr="005720A3">
              <w:rPr>
                <w:color w:val="000000"/>
              </w:rPr>
              <w:t>National Health Research Ethics Committee of Nigeria</w:t>
            </w:r>
          </w:p>
        </w:tc>
      </w:tr>
      <w:tr w:rsidR="005720A3" w14:paraId="7EFB99A0" w14:textId="77777777" w:rsidTr="005720A3">
        <w:trPr>
          <w:trHeight w:val="31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4499C4" w14:textId="77777777" w:rsidR="005720A3" w:rsidRPr="005720A3" w:rsidRDefault="005720A3" w:rsidP="005720A3">
            <w:pPr>
              <w:rPr>
                <w:color w:val="000000"/>
              </w:rPr>
            </w:pPr>
            <w:r w:rsidRPr="005720A3">
              <w:rPr>
                <w:color w:val="000000"/>
              </w:rPr>
              <w:t>NMEP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CBFED1" w14:textId="77777777" w:rsidR="005720A3" w:rsidRPr="005720A3" w:rsidRDefault="005720A3" w:rsidP="005720A3">
            <w:pPr>
              <w:rPr>
                <w:color w:val="000000"/>
              </w:rPr>
            </w:pPr>
            <w:r w:rsidRPr="005720A3">
              <w:rPr>
                <w:color w:val="000000"/>
              </w:rPr>
              <w:t>National Malaria Elimination Programme</w:t>
            </w:r>
          </w:p>
        </w:tc>
      </w:tr>
      <w:tr w:rsidR="005720A3" w14:paraId="7F638A0F" w14:textId="77777777" w:rsidTr="005720A3">
        <w:trPr>
          <w:trHeight w:val="31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417927" w14:textId="77777777" w:rsidR="005720A3" w:rsidRPr="005720A3" w:rsidRDefault="005720A3" w:rsidP="005720A3">
            <w:pPr>
              <w:rPr>
                <w:color w:val="000000"/>
              </w:rPr>
            </w:pPr>
            <w:r w:rsidRPr="005720A3">
              <w:rPr>
                <w:color w:val="000000"/>
              </w:rPr>
              <w:t>NMIS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D1818C" w14:textId="77777777" w:rsidR="005720A3" w:rsidRPr="005720A3" w:rsidRDefault="005720A3" w:rsidP="005720A3">
            <w:pPr>
              <w:rPr>
                <w:color w:val="000000"/>
              </w:rPr>
            </w:pPr>
            <w:r w:rsidRPr="005720A3">
              <w:rPr>
                <w:color w:val="000000"/>
              </w:rPr>
              <w:t xml:space="preserve">National Malaria Indicator Survey </w:t>
            </w:r>
          </w:p>
        </w:tc>
      </w:tr>
      <w:tr w:rsidR="005720A3" w14:paraId="3FCDB0B4" w14:textId="77777777" w:rsidTr="005720A3">
        <w:trPr>
          <w:trHeight w:val="31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B4561D" w14:textId="77777777" w:rsidR="005720A3" w:rsidRPr="005720A3" w:rsidRDefault="005720A3" w:rsidP="005720A3">
            <w:pPr>
              <w:rPr>
                <w:color w:val="000000"/>
              </w:rPr>
            </w:pPr>
            <w:r w:rsidRPr="005720A3">
              <w:rPr>
                <w:color w:val="000000"/>
              </w:rPr>
              <w:t>NPHC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586955" w14:textId="77777777" w:rsidR="005720A3" w:rsidRPr="005720A3" w:rsidRDefault="005720A3" w:rsidP="005720A3">
            <w:pPr>
              <w:rPr>
                <w:color w:val="000000"/>
              </w:rPr>
            </w:pPr>
            <w:r w:rsidRPr="005720A3">
              <w:rPr>
                <w:color w:val="000000"/>
              </w:rPr>
              <w:t xml:space="preserve">Population and Housing Census of the Federal Republic of Nigeria </w:t>
            </w:r>
          </w:p>
        </w:tc>
      </w:tr>
      <w:tr w:rsidR="005720A3" w14:paraId="43AF9863" w14:textId="77777777" w:rsidTr="005720A3">
        <w:trPr>
          <w:trHeight w:val="31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00C687" w14:textId="77777777" w:rsidR="005720A3" w:rsidRPr="005720A3" w:rsidRDefault="005720A3" w:rsidP="005720A3">
            <w:pPr>
              <w:rPr>
                <w:color w:val="000000"/>
              </w:rPr>
            </w:pPr>
            <w:r w:rsidRPr="005720A3">
              <w:rPr>
                <w:color w:val="000000"/>
              </w:rPr>
              <w:t>NPopC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CCFA6B" w14:textId="77777777" w:rsidR="005720A3" w:rsidRPr="005720A3" w:rsidRDefault="005720A3" w:rsidP="005720A3">
            <w:pPr>
              <w:rPr>
                <w:color w:val="000000"/>
              </w:rPr>
            </w:pPr>
            <w:r w:rsidRPr="005720A3">
              <w:rPr>
                <w:color w:val="000000"/>
              </w:rPr>
              <w:t xml:space="preserve">National Population Commission </w:t>
            </w:r>
          </w:p>
        </w:tc>
      </w:tr>
      <w:tr w:rsidR="005720A3" w14:paraId="091D8683" w14:textId="77777777" w:rsidTr="005720A3">
        <w:trPr>
          <w:trHeight w:val="31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75ECAD" w14:textId="77777777" w:rsidR="005720A3" w:rsidRPr="005720A3" w:rsidRDefault="005720A3" w:rsidP="005720A3">
            <w:pPr>
              <w:rPr>
                <w:color w:val="000000"/>
              </w:rPr>
            </w:pPr>
            <w:r w:rsidRPr="005720A3">
              <w:rPr>
                <w:color w:val="000000"/>
              </w:rPr>
              <w:t>RBM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05731A" w14:textId="77777777" w:rsidR="005720A3" w:rsidRPr="005720A3" w:rsidRDefault="005720A3" w:rsidP="005720A3">
            <w:pPr>
              <w:rPr>
                <w:color w:val="000000"/>
              </w:rPr>
            </w:pPr>
            <w:r w:rsidRPr="005720A3">
              <w:rPr>
                <w:color w:val="000000"/>
              </w:rPr>
              <w:t xml:space="preserve">Roll Back Malaria </w:t>
            </w:r>
          </w:p>
        </w:tc>
      </w:tr>
      <w:tr w:rsidR="005720A3" w14:paraId="38B9D3A3" w14:textId="77777777" w:rsidTr="005720A3">
        <w:trPr>
          <w:trHeight w:val="31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BE0FCE" w14:textId="77777777" w:rsidR="005720A3" w:rsidRPr="005720A3" w:rsidRDefault="005720A3" w:rsidP="005720A3">
            <w:pPr>
              <w:rPr>
                <w:color w:val="000000"/>
              </w:rPr>
            </w:pPr>
            <w:r w:rsidRPr="005720A3">
              <w:rPr>
                <w:color w:val="000000"/>
              </w:rPr>
              <w:t>RDT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711EDD" w14:textId="77777777" w:rsidR="005720A3" w:rsidRPr="005720A3" w:rsidRDefault="005720A3" w:rsidP="005720A3">
            <w:pPr>
              <w:rPr>
                <w:color w:val="000000"/>
              </w:rPr>
            </w:pPr>
            <w:r w:rsidRPr="005720A3">
              <w:rPr>
                <w:color w:val="000000"/>
              </w:rPr>
              <w:t>Rapid Diagnostic Test</w:t>
            </w:r>
          </w:p>
        </w:tc>
      </w:tr>
      <w:tr w:rsidR="005720A3" w14:paraId="6DFBB5D6" w14:textId="77777777" w:rsidTr="005720A3">
        <w:trPr>
          <w:trHeight w:val="31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F8D567" w14:textId="77777777" w:rsidR="005720A3" w:rsidRPr="005720A3" w:rsidRDefault="005720A3" w:rsidP="005720A3">
            <w:pPr>
              <w:rPr>
                <w:color w:val="000000"/>
              </w:rPr>
            </w:pPr>
            <w:r w:rsidRPr="005720A3">
              <w:rPr>
                <w:color w:val="000000"/>
              </w:rPr>
              <w:t>SMC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1FAB4F" w14:textId="77777777" w:rsidR="005720A3" w:rsidRPr="005720A3" w:rsidRDefault="005720A3" w:rsidP="005720A3">
            <w:pPr>
              <w:rPr>
                <w:color w:val="000000"/>
              </w:rPr>
            </w:pPr>
            <w:r w:rsidRPr="005720A3">
              <w:rPr>
                <w:color w:val="000000"/>
              </w:rPr>
              <w:t>Seasonal Malaria Chemoprevention</w:t>
            </w:r>
          </w:p>
        </w:tc>
      </w:tr>
      <w:tr w:rsidR="005720A3" w14:paraId="51BD83B1" w14:textId="77777777" w:rsidTr="005720A3">
        <w:trPr>
          <w:trHeight w:val="31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7BBF29" w14:textId="77777777" w:rsidR="005720A3" w:rsidRPr="005720A3" w:rsidRDefault="005720A3" w:rsidP="005720A3">
            <w:pPr>
              <w:rPr>
                <w:color w:val="000000"/>
              </w:rPr>
            </w:pPr>
            <w:r w:rsidRPr="005720A3">
              <w:rPr>
                <w:color w:val="000000"/>
              </w:rPr>
              <w:t>SP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6181CD" w14:textId="77777777" w:rsidR="005720A3" w:rsidRPr="005720A3" w:rsidRDefault="005720A3" w:rsidP="005720A3">
            <w:pPr>
              <w:rPr>
                <w:color w:val="000000"/>
              </w:rPr>
            </w:pPr>
            <w:r w:rsidRPr="005720A3">
              <w:rPr>
                <w:color w:val="000000"/>
              </w:rPr>
              <w:t xml:space="preserve">Sulfadoxine-pyrimethamine </w:t>
            </w:r>
          </w:p>
        </w:tc>
      </w:tr>
      <w:tr w:rsidR="005720A3" w14:paraId="6DDC1F63" w14:textId="77777777" w:rsidTr="005720A3">
        <w:trPr>
          <w:trHeight w:val="31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71FE8E" w14:textId="77777777" w:rsidR="005720A3" w:rsidRPr="005720A3" w:rsidRDefault="005720A3" w:rsidP="005720A3">
            <w:pPr>
              <w:rPr>
                <w:color w:val="000000"/>
              </w:rPr>
            </w:pPr>
            <w:r w:rsidRPr="005720A3">
              <w:rPr>
                <w:color w:val="000000"/>
              </w:rPr>
              <w:t>WHO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3F84F3" w14:textId="77777777" w:rsidR="005720A3" w:rsidRPr="005720A3" w:rsidRDefault="005720A3" w:rsidP="005720A3">
            <w:pPr>
              <w:rPr>
                <w:color w:val="000000"/>
              </w:rPr>
            </w:pPr>
            <w:r w:rsidRPr="005720A3">
              <w:rPr>
                <w:color w:val="000000"/>
              </w:rPr>
              <w:t>World Health Organization</w:t>
            </w:r>
          </w:p>
        </w:tc>
      </w:tr>
    </w:tbl>
    <w:p w14:paraId="30AD1340" w14:textId="77777777" w:rsidR="005720A3" w:rsidRDefault="005720A3" w:rsidP="00691D2D"/>
    <w:p w14:paraId="7AC84282" w14:textId="77777777" w:rsidR="005720A3" w:rsidRDefault="005720A3">
      <w:pPr>
        <w:rPr>
          <w:b/>
          <w:color w:val="0067AB"/>
          <w:szCs w:val="28"/>
        </w:rPr>
      </w:pPr>
      <w:r>
        <w:br w:type="page"/>
      </w:r>
    </w:p>
    <w:p w14:paraId="6FAC6145" w14:textId="77777777" w:rsidR="00A53502" w:rsidRPr="00F53B4A" w:rsidRDefault="00352830" w:rsidP="00F53B4A">
      <w:pPr>
        <w:pStyle w:val="Heading1"/>
      </w:pPr>
      <w:bookmarkStart w:id="5" w:name="_Toc53960777"/>
      <w:r w:rsidRPr="00F53B4A">
        <w:lastRenderedPageBreak/>
        <w:t>BACKGROUND</w:t>
      </w:r>
      <w:bookmarkEnd w:id="5"/>
    </w:p>
    <w:p w14:paraId="7C8D242C" w14:textId="2C4DA855" w:rsidR="00731A09" w:rsidRDefault="00352830">
      <w:pPr>
        <w:spacing w:after="240"/>
        <w:rPr>
          <w:rFonts w:eastAsia="Calibri"/>
        </w:rPr>
      </w:pPr>
      <w:r w:rsidRPr="00F53B4A">
        <w:rPr>
          <w:rFonts w:eastAsia="Calibri"/>
        </w:rPr>
        <w:t>Malaria remains a disease of public health importance globally. In 2018, an estimated 228 million cases of malaria occurred worldwide with Nigeria contributing 25% to the global malaria burden and 24% malaria death. (WHO</w:t>
      </w:r>
      <w:r w:rsidR="009F6357">
        <w:rPr>
          <w:rFonts w:eastAsia="Calibri"/>
        </w:rPr>
        <w:t>,</w:t>
      </w:r>
      <w:r w:rsidRPr="00F53B4A">
        <w:rPr>
          <w:rFonts w:eastAsia="Calibri"/>
        </w:rPr>
        <w:t xml:space="preserve"> 2019). Children under 5 years remain the most vulnerable group affected by malaria. According to the 2019 World Malaria Report </w:t>
      </w:r>
      <w:r w:rsidR="009F6357">
        <w:rPr>
          <w:rFonts w:eastAsia="Calibri"/>
        </w:rPr>
        <w:t xml:space="preserve">(WHO, 2019) </w:t>
      </w:r>
      <w:r w:rsidRPr="00F53B4A">
        <w:rPr>
          <w:rFonts w:eastAsia="Calibri"/>
        </w:rPr>
        <w:t>children under five years accounted for 67% (272</w:t>
      </w:r>
      <w:r w:rsidR="009F6357">
        <w:rPr>
          <w:rFonts w:eastAsia="Calibri"/>
        </w:rPr>
        <w:t>,</w:t>
      </w:r>
      <w:r w:rsidRPr="00F53B4A">
        <w:rPr>
          <w:rFonts w:eastAsia="Calibri"/>
        </w:rPr>
        <w:t xml:space="preserve">000) of all malaria deaths worldwide in 2018. </w:t>
      </w:r>
      <w:r w:rsidR="008A084A">
        <w:rPr>
          <w:rFonts w:eastAsia="Calibri"/>
        </w:rPr>
        <w:t>As part of other high impact interventions for the control of malaria in Nigeria, the Federal Ministry of Health adopted</w:t>
      </w:r>
      <w:r w:rsidR="008A084A" w:rsidRPr="00F53B4A">
        <w:rPr>
          <w:rFonts w:eastAsia="Calibri"/>
        </w:rPr>
        <w:t xml:space="preserve"> the World Health Organization (WHO) recommend</w:t>
      </w:r>
      <w:r w:rsidR="008A084A">
        <w:rPr>
          <w:rFonts w:eastAsia="Calibri"/>
        </w:rPr>
        <w:t>ation for</w:t>
      </w:r>
      <w:r w:rsidR="008A084A" w:rsidRPr="00F53B4A">
        <w:rPr>
          <w:rFonts w:eastAsia="Calibri"/>
        </w:rPr>
        <w:t xml:space="preserve"> Seasonal Malaria Chemoprevention</w:t>
      </w:r>
      <w:r w:rsidR="008A084A">
        <w:rPr>
          <w:rFonts w:eastAsia="Calibri"/>
        </w:rPr>
        <w:t xml:space="preserve"> (WHO, 2012) </w:t>
      </w:r>
      <w:r w:rsidR="008A084A" w:rsidRPr="00F53B4A">
        <w:rPr>
          <w:rFonts w:eastAsia="Calibri"/>
        </w:rPr>
        <w:t xml:space="preserve">to </w:t>
      </w:r>
      <w:r w:rsidRPr="00F53B4A">
        <w:rPr>
          <w:rFonts w:eastAsia="Calibri"/>
        </w:rPr>
        <w:t xml:space="preserve">prevent malaria in those most vulnerable to the disease’s effects in </w:t>
      </w:r>
      <w:r w:rsidR="009F6357">
        <w:rPr>
          <w:rFonts w:eastAsia="Calibri"/>
        </w:rPr>
        <w:t>the</w:t>
      </w:r>
      <w:r w:rsidR="003648EC">
        <w:rPr>
          <w:rFonts w:eastAsia="Calibri"/>
        </w:rPr>
        <w:t xml:space="preserve"> </w:t>
      </w:r>
      <w:r w:rsidR="009F6357">
        <w:rPr>
          <w:rFonts w:eastAsia="Calibri"/>
        </w:rPr>
        <w:t>Sahel sub-region,</w:t>
      </w:r>
      <w:r w:rsidRPr="00F53B4A">
        <w:rPr>
          <w:rFonts w:eastAsia="Calibri"/>
        </w:rPr>
        <w:t xml:space="preserve"> where malaria transmission is highly seasonal </w:t>
      </w:r>
      <w:r w:rsidR="009F6357">
        <w:rPr>
          <w:rFonts w:eastAsia="Calibri"/>
        </w:rPr>
        <w:t xml:space="preserve">and </w:t>
      </w:r>
      <w:r w:rsidR="009F6357" w:rsidRPr="00F53B4A">
        <w:rPr>
          <w:rFonts w:eastAsia="Calibri"/>
        </w:rPr>
        <w:t xml:space="preserve">most </w:t>
      </w:r>
      <w:r w:rsidR="00AF3EF4">
        <w:rPr>
          <w:rFonts w:eastAsia="Calibri"/>
        </w:rPr>
        <w:t>morbidity and mortality</w:t>
      </w:r>
      <w:r w:rsidR="009F6357" w:rsidRPr="00F53B4A">
        <w:rPr>
          <w:rFonts w:eastAsia="Calibri"/>
        </w:rPr>
        <w:t xml:space="preserve"> occur during the rainy season</w:t>
      </w:r>
      <w:r w:rsidRPr="00F53B4A">
        <w:rPr>
          <w:rFonts w:eastAsia="Calibri"/>
        </w:rPr>
        <w:t xml:space="preserve">. </w:t>
      </w:r>
    </w:p>
    <w:p w14:paraId="431C9192" w14:textId="09C916C5" w:rsidR="00A53502" w:rsidRPr="00F53B4A" w:rsidRDefault="008A084A" w:rsidP="003648EC">
      <w:pPr>
        <w:spacing w:after="240"/>
        <w:rPr>
          <w:rFonts w:eastAsia="Calibri"/>
        </w:rPr>
      </w:pPr>
      <w:r w:rsidRPr="00F53B4A">
        <w:rPr>
          <w:rFonts w:eastAsia="Calibri"/>
        </w:rPr>
        <w:t>Seasonal Malaria Chemoprevention</w:t>
      </w:r>
      <w:r>
        <w:rPr>
          <w:rFonts w:eastAsia="Calibri"/>
        </w:rPr>
        <w:t xml:space="preserve"> (</w:t>
      </w:r>
      <w:r w:rsidR="00352830" w:rsidRPr="00F53B4A">
        <w:rPr>
          <w:rFonts w:eastAsia="Calibri"/>
        </w:rPr>
        <w:t>SMC</w:t>
      </w:r>
      <w:r>
        <w:rPr>
          <w:rFonts w:eastAsia="Calibri"/>
        </w:rPr>
        <w:t>)</w:t>
      </w:r>
      <w:r w:rsidR="00352830" w:rsidRPr="00F53B4A">
        <w:rPr>
          <w:rFonts w:eastAsia="Calibri"/>
        </w:rPr>
        <w:t xml:space="preserve"> is the administration of four monthly courses of sulfadoxine-pyrimethamine (SP) and amodiaquine (AQ), or SPAQ, to children between 3 and 59 months during the rainy season</w:t>
      </w:r>
      <w:r w:rsidR="003648EC">
        <w:rPr>
          <w:rFonts w:eastAsia="Calibri"/>
        </w:rPr>
        <w:t xml:space="preserve"> in </w:t>
      </w:r>
      <w:r w:rsidR="003648EC" w:rsidRPr="003648EC">
        <w:rPr>
          <w:rFonts w:eastAsia="Calibri"/>
        </w:rPr>
        <w:t>the Sahel sub-region where</w:t>
      </w:r>
      <w:r w:rsidR="003648EC">
        <w:rPr>
          <w:rFonts w:eastAsia="Calibri"/>
        </w:rPr>
        <w:t xml:space="preserve"> </w:t>
      </w:r>
      <w:r w:rsidR="003648EC" w:rsidRPr="003648EC">
        <w:rPr>
          <w:rFonts w:eastAsia="Calibri"/>
        </w:rPr>
        <w:t>malaria transmission is highly seasonal and the majority of clinical malaria cases (&gt;60%) occur during a short period of 3-4 months</w:t>
      </w:r>
      <w:r w:rsidR="00731A09">
        <w:rPr>
          <w:rFonts w:eastAsia="Calibri"/>
        </w:rPr>
        <w:t xml:space="preserve"> (WHO, 2012)</w:t>
      </w:r>
      <w:r w:rsidR="00352830" w:rsidRPr="00F53B4A">
        <w:rPr>
          <w:rFonts w:eastAsia="Calibri"/>
        </w:rPr>
        <w:t xml:space="preserve">. The objective of SMC is to maintain therapeutic antimalarial drug concentrations in the blood throughout the period of greatest risk. SMC has been shown to be safe, feasible, effective, and cost-effective for the prevention of malaria among children under five. WHO estimates that SMC </w:t>
      </w:r>
      <w:r w:rsidR="005F60CB">
        <w:rPr>
          <w:rFonts w:eastAsia="Calibri"/>
        </w:rPr>
        <w:t xml:space="preserve">can </w:t>
      </w:r>
      <w:r w:rsidR="00352830" w:rsidRPr="00F53B4A">
        <w:rPr>
          <w:rFonts w:eastAsia="Calibri"/>
        </w:rPr>
        <w:t xml:space="preserve">prevent 75% of malaria episodes and severe malaria cases in the target </w:t>
      </w:r>
      <w:r w:rsidR="00731A09">
        <w:rPr>
          <w:rFonts w:eastAsia="Calibri"/>
        </w:rPr>
        <w:t>(WHO, 2012)</w:t>
      </w:r>
      <w:r w:rsidR="008667BF">
        <w:rPr>
          <w:rFonts w:eastAsia="Calibri"/>
        </w:rPr>
        <w:t>.</w:t>
      </w:r>
    </w:p>
    <w:p w14:paraId="3A097178" w14:textId="3A3F9162" w:rsidR="00A53502" w:rsidRPr="00F53B4A" w:rsidRDefault="00352830">
      <w:pPr>
        <w:spacing w:after="240"/>
        <w:rPr>
          <w:rFonts w:eastAsia="Calibri"/>
        </w:rPr>
      </w:pPr>
      <w:r w:rsidRPr="00F53B4A">
        <w:rPr>
          <w:rFonts w:eastAsia="Calibri"/>
        </w:rPr>
        <w:t>SMC</w:t>
      </w:r>
      <w:r w:rsidR="005F60CB">
        <w:rPr>
          <w:rFonts w:eastAsia="Calibri"/>
        </w:rPr>
        <w:t xml:space="preserve"> involves</w:t>
      </w:r>
      <w:r w:rsidR="003648EC">
        <w:rPr>
          <w:rFonts w:eastAsia="Calibri"/>
        </w:rPr>
        <w:t xml:space="preserve"> the  administration of SPAQ to eligible children </w:t>
      </w:r>
      <w:r w:rsidRPr="00F53B4A">
        <w:rPr>
          <w:rFonts w:eastAsia="Calibri"/>
        </w:rPr>
        <w:t xml:space="preserve">in yearly rounds of four monthly courses (cycles) during the peak period of malaria transmission (usually between July to October) with distribution cycles approximately 28 days apart. </w:t>
      </w:r>
      <w:r w:rsidR="003648EC">
        <w:rPr>
          <w:rFonts w:eastAsia="Calibri"/>
        </w:rPr>
        <w:t>The medicines</w:t>
      </w:r>
      <w:r w:rsidR="003648EC" w:rsidRPr="00F53B4A">
        <w:rPr>
          <w:rFonts w:eastAsia="Calibri"/>
        </w:rPr>
        <w:t xml:space="preserve"> </w:t>
      </w:r>
      <w:r w:rsidRPr="00F53B4A">
        <w:rPr>
          <w:rFonts w:eastAsia="Calibri"/>
        </w:rPr>
        <w:t xml:space="preserve">are typically </w:t>
      </w:r>
      <w:r w:rsidR="003648EC">
        <w:rPr>
          <w:rFonts w:eastAsia="Calibri"/>
        </w:rPr>
        <w:t>administered</w:t>
      </w:r>
      <w:r w:rsidR="003648EC" w:rsidRPr="00F53B4A">
        <w:rPr>
          <w:rFonts w:eastAsia="Calibri"/>
        </w:rPr>
        <w:t xml:space="preserve"> </w:t>
      </w:r>
      <w:r w:rsidRPr="00F53B4A">
        <w:rPr>
          <w:rFonts w:eastAsia="Calibri"/>
        </w:rPr>
        <w:t xml:space="preserve">through door-to-door campaigns by Community Drug Distributors (CDDs) during a period of three to four days per cycle. Each monthly course consists of one dispersible tablet of SP and three daily dispersible tablets of AQ. A dose of SP and the first dose of AQ are administered </w:t>
      </w:r>
      <w:r w:rsidR="00571B7A" w:rsidRPr="00F53B4A">
        <w:rPr>
          <w:rFonts w:eastAsia="Calibri"/>
        </w:rPr>
        <w:t>as directly observed treatment (DOT)</w:t>
      </w:r>
      <w:r w:rsidR="00571B7A">
        <w:rPr>
          <w:rFonts w:eastAsia="Calibri"/>
        </w:rPr>
        <w:t xml:space="preserve">, that is, </w:t>
      </w:r>
      <w:r w:rsidRPr="00F53B4A">
        <w:rPr>
          <w:rFonts w:eastAsia="Calibri"/>
        </w:rPr>
        <w:t xml:space="preserve">by or under the supervision of </w:t>
      </w:r>
      <w:r w:rsidR="006C56CA">
        <w:rPr>
          <w:rFonts w:eastAsia="Calibri"/>
        </w:rPr>
        <w:t>CDs</w:t>
      </w:r>
      <w:r w:rsidRPr="00F53B4A">
        <w:rPr>
          <w:rFonts w:eastAsia="Calibri"/>
        </w:rPr>
        <w:t xml:space="preserve"> to ensure that the tablets are correctly dissolved, and that the child fully ingests the drugs without spitting them out or vomiting. Children who vomit or spit out the drugs within 30 minutes </w:t>
      </w:r>
      <w:r w:rsidR="00571B7A">
        <w:rPr>
          <w:rFonts w:eastAsia="Calibri"/>
        </w:rPr>
        <w:t xml:space="preserve">are </w:t>
      </w:r>
      <w:r w:rsidRPr="00F53B4A">
        <w:rPr>
          <w:rFonts w:eastAsia="Calibri"/>
        </w:rPr>
        <w:t xml:space="preserve">given a second dose under supervision of the </w:t>
      </w:r>
      <w:r w:rsidR="006C56CA">
        <w:rPr>
          <w:rFonts w:eastAsia="Calibri"/>
        </w:rPr>
        <w:t>CDs</w:t>
      </w:r>
      <w:r w:rsidRPr="00F53B4A">
        <w:rPr>
          <w:rFonts w:eastAsia="Calibri"/>
        </w:rPr>
        <w:t xml:space="preserve">. The remaining two doses of AQ are administered by the caregiver </w:t>
      </w:r>
      <w:r w:rsidRPr="00F53B4A">
        <w:rPr>
          <w:rFonts w:eastAsia="Calibri"/>
        </w:rPr>
        <w:lastRenderedPageBreak/>
        <w:t>– one each over the following two days</w:t>
      </w:r>
      <w:r w:rsidR="00571B7A">
        <w:rPr>
          <w:rFonts w:eastAsia="Calibri"/>
        </w:rPr>
        <w:t>; that is, the</w:t>
      </w:r>
      <w:r w:rsidRPr="00F53B4A">
        <w:rPr>
          <w:rFonts w:eastAsia="Calibri"/>
        </w:rPr>
        <w:t xml:space="preserve"> </w:t>
      </w:r>
      <w:r w:rsidR="006C56CA">
        <w:rPr>
          <w:rFonts w:eastAsia="Calibri"/>
        </w:rPr>
        <w:t>CDs</w:t>
      </w:r>
      <w:r w:rsidRPr="00F53B4A">
        <w:rPr>
          <w:rFonts w:eastAsia="Calibri"/>
        </w:rPr>
        <w:t xml:space="preserve"> leave a blister with the two remaining tablets with caregivers and provide instructions on how to administer and record the dose on the </w:t>
      </w:r>
      <w:r w:rsidRPr="00F53B4A">
        <w:rPr>
          <w:rFonts w:eastAsia="Calibri"/>
          <w:i/>
        </w:rPr>
        <w:t>SMC Child Record Card</w:t>
      </w:r>
      <w:r w:rsidRPr="00F53B4A">
        <w:rPr>
          <w:rFonts w:eastAsia="Calibri"/>
        </w:rPr>
        <w:t>. If a child vomits or spits out the second or third dose of AQ, caregivers are encouraged to request a replacement dose from the nearest health facility. Lead mothers – who are well known and respected community women – are recruited to visit the households from the second day of distribution and remind the caregivers to give the last two doses as instructed.</w:t>
      </w:r>
    </w:p>
    <w:p w14:paraId="1752E3DC" w14:textId="766296EC" w:rsidR="00A53502" w:rsidRDefault="00352830">
      <w:pPr>
        <w:spacing w:after="240"/>
        <w:rPr>
          <w:rFonts w:eastAsia="Calibri"/>
        </w:rPr>
      </w:pPr>
      <w:r w:rsidRPr="00F53B4A">
        <w:rPr>
          <w:rFonts w:eastAsia="Calibri"/>
        </w:rPr>
        <w:t xml:space="preserve">Children under 3 months or over 5 years, as well as children who are severely ill, who are taking sulfa-containing medications, and those with known allergies to SP or AQ </w:t>
      </w:r>
      <w:r w:rsidR="00571B7A">
        <w:rPr>
          <w:rFonts w:eastAsia="Calibri"/>
        </w:rPr>
        <w:t xml:space="preserve">are excluded from </w:t>
      </w:r>
      <w:r w:rsidRPr="00F53B4A">
        <w:rPr>
          <w:rFonts w:eastAsia="Calibri"/>
        </w:rPr>
        <w:t xml:space="preserve">SMC. </w:t>
      </w:r>
      <w:r w:rsidR="006C56CA">
        <w:rPr>
          <w:rFonts w:eastAsia="Calibri"/>
        </w:rPr>
        <w:t>CDs</w:t>
      </w:r>
      <w:r w:rsidRPr="00F53B4A">
        <w:rPr>
          <w:rFonts w:eastAsia="Calibri"/>
        </w:rPr>
        <w:t xml:space="preserve"> mark each house they have visited, indicating whether treatment was completed. They are instructed to refer children with fever to the nearest health facility, where they should be tested for malaria using a rapid diagnostic test. If the test result is negative, children </w:t>
      </w:r>
      <w:r w:rsidR="009A030D">
        <w:rPr>
          <w:rFonts w:eastAsia="Calibri"/>
        </w:rPr>
        <w:t>are</w:t>
      </w:r>
      <w:r w:rsidRPr="00F53B4A">
        <w:rPr>
          <w:rFonts w:eastAsia="Calibri"/>
        </w:rPr>
        <w:t xml:space="preserve"> given SP and the first dose of AQ by the health facility worker, giving the remaining two doses of AQ to the caregiver for administration over the following two days.</w:t>
      </w:r>
    </w:p>
    <w:p w14:paraId="1FDED359" w14:textId="2572A048" w:rsidR="00F1140F" w:rsidRPr="00F53B4A" w:rsidRDefault="00F1140F">
      <w:pPr>
        <w:spacing w:after="240"/>
        <w:rPr>
          <w:rFonts w:eastAsia="Calibri"/>
        </w:rPr>
      </w:pPr>
      <w:r>
        <w:rPr>
          <w:rFonts w:eastAsia="Calibri"/>
        </w:rPr>
        <w:t>The SMC programme is integrated with a robust monitoring and evaluation component that includes in-process and end-of-process assessment of key indicators to measure progress and achievements of results. Of note</w:t>
      </w:r>
      <w:r w:rsidR="0080589B">
        <w:rPr>
          <w:rFonts w:eastAsia="Calibri"/>
        </w:rPr>
        <w:t xml:space="preserve"> is the </w:t>
      </w:r>
      <w:r w:rsidR="0080589B" w:rsidRPr="00F53B4A">
        <w:rPr>
          <w:rFonts w:eastAsia="Calibri"/>
        </w:rPr>
        <w:t xml:space="preserve">end-of-round coverage survey </w:t>
      </w:r>
      <w:r w:rsidR="0080589B">
        <w:rPr>
          <w:rFonts w:eastAsia="Calibri"/>
        </w:rPr>
        <w:t xml:space="preserve">that is conducted </w:t>
      </w:r>
      <w:r w:rsidR="0080589B" w:rsidRPr="00F53B4A">
        <w:rPr>
          <w:rFonts w:eastAsia="Calibri"/>
        </w:rPr>
        <w:t>to measure the coverage and quality of implementation of</w:t>
      </w:r>
      <w:r w:rsidR="0080589B">
        <w:rPr>
          <w:rFonts w:eastAsia="Calibri"/>
        </w:rPr>
        <w:t xml:space="preserve"> the SMC programme at the conclusion of the four cycles.</w:t>
      </w:r>
    </w:p>
    <w:p w14:paraId="61FC2B8A" w14:textId="7078A647" w:rsidR="00A53502" w:rsidRPr="00F53B4A" w:rsidRDefault="00352830">
      <w:pPr>
        <w:spacing w:after="240"/>
        <w:rPr>
          <w:rFonts w:eastAsia="Calibri"/>
        </w:rPr>
      </w:pPr>
      <w:r w:rsidRPr="00F53B4A">
        <w:rPr>
          <w:rFonts w:eastAsia="Calibri"/>
        </w:rPr>
        <w:t>Nigeria adopted the WHO policy recommendation</w:t>
      </w:r>
      <w:r w:rsidR="009A030D">
        <w:rPr>
          <w:rFonts w:eastAsia="Calibri"/>
        </w:rPr>
        <w:t xml:space="preserve"> on SMC</w:t>
      </w:r>
      <w:r w:rsidRPr="00F53B4A">
        <w:rPr>
          <w:rFonts w:eastAsia="Calibri"/>
        </w:rPr>
        <w:t xml:space="preserve"> in 2014 following </w:t>
      </w:r>
      <w:r w:rsidR="009A030D">
        <w:rPr>
          <w:rFonts w:eastAsia="Calibri"/>
        </w:rPr>
        <w:t xml:space="preserve">the conduct of </w:t>
      </w:r>
      <w:r w:rsidRPr="00F53B4A">
        <w:rPr>
          <w:rFonts w:eastAsia="Calibri"/>
        </w:rPr>
        <w:t xml:space="preserve">pilot studies in seven </w:t>
      </w:r>
      <w:r w:rsidR="005720A3">
        <w:rPr>
          <w:rFonts w:eastAsia="Calibri"/>
        </w:rPr>
        <w:t>local government areas (</w:t>
      </w:r>
      <w:r w:rsidRPr="00F53B4A">
        <w:rPr>
          <w:rFonts w:eastAsia="Calibri"/>
        </w:rPr>
        <w:t>LGAs</w:t>
      </w:r>
      <w:r w:rsidR="005720A3">
        <w:rPr>
          <w:rFonts w:eastAsia="Calibri"/>
        </w:rPr>
        <w:t>)</w:t>
      </w:r>
      <w:r w:rsidRPr="00F53B4A">
        <w:rPr>
          <w:rFonts w:eastAsia="Calibri"/>
        </w:rPr>
        <w:t xml:space="preserve"> in </w:t>
      </w:r>
      <w:r w:rsidR="00091588">
        <w:rPr>
          <w:rFonts w:eastAsia="Calibri"/>
        </w:rPr>
        <w:t xml:space="preserve">three of the States in the Sahel area; </w:t>
      </w:r>
      <w:r w:rsidRPr="00F53B4A">
        <w:rPr>
          <w:rFonts w:eastAsia="Calibri"/>
        </w:rPr>
        <w:t>Jigawa, Kano, and Katsina</w:t>
      </w:r>
      <w:r w:rsidR="00091588">
        <w:rPr>
          <w:rFonts w:eastAsia="Calibri"/>
        </w:rPr>
        <w:t xml:space="preserve"> States</w:t>
      </w:r>
      <w:r w:rsidRPr="00F53B4A">
        <w:rPr>
          <w:rFonts w:eastAsia="Calibri"/>
        </w:rPr>
        <w:t xml:space="preserve">. </w:t>
      </w:r>
      <w:r w:rsidR="00091588">
        <w:rPr>
          <w:rFonts w:eastAsia="Calibri"/>
        </w:rPr>
        <w:t xml:space="preserve">Thus, </w:t>
      </w:r>
      <w:r w:rsidR="00091588" w:rsidRPr="00F53B4A">
        <w:rPr>
          <w:rFonts w:eastAsia="Calibri"/>
        </w:rPr>
        <w:t xml:space="preserve">in </w:t>
      </w:r>
      <w:r w:rsidRPr="00F53B4A">
        <w:rPr>
          <w:rFonts w:eastAsia="Calibri"/>
        </w:rPr>
        <w:t xml:space="preserve">2015, implementation of SMC took place in 6 LGAs in Jigawa and Katsina, which expanded to 52 LGAs in Sokoto, Zamfara, Jigawa and Borno in 2016. By 2020, </w:t>
      </w:r>
      <w:r w:rsidR="00091588" w:rsidRPr="00F53B4A">
        <w:rPr>
          <w:rFonts w:eastAsia="Calibri"/>
        </w:rPr>
        <w:t>the nine Sahel states eligible for SMC intervention (Figure 1)</w:t>
      </w:r>
      <w:r w:rsidR="00091588">
        <w:rPr>
          <w:rFonts w:eastAsia="Calibri"/>
        </w:rPr>
        <w:t xml:space="preserve"> had full implementation of SMC in all their LGAs </w:t>
      </w:r>
      <w:r w:rsidRPr="00F53B4A">
        <w:rPr>
          <w:rFonts w:eastAsia="Calibri"/>
        </w:rPr>
        <w:t xml:space="preserve">except for Bauchi State with only 10 SMC-implementing LGAs. </w:t>
      </w:r>
    </w:p>
    <w:p w14:paraId="221F24F3" w14:textId="6C1B14B6" w:rsidR="00A53502" w:rsidRPr="00F53B4A" w:rsidRDefault="00DB75FD">
      <w:pPr>
        <w:spacing w:after="240"/>
        <w:rPr>
          <w:rFonts w:eastAsia="Calibri"/>
        </w:rPr>
      </w:pPr>
      <w:r w:rsidRPr="00691D2D">
        <w:rPr>
          <w:rFonts w:eastAsia="Calibri"/>
          <w:noProof/>
        </w:rPr>
        <w:lastRenderedPageBreak/>
        <mc:AlternateContent>
          <mc:Choice Requires="wps">
            <w:drawing>
              <wp:anchor distT="0" distB="0" distL="114300" distR="114300" simplePos="0" relativeHeight="251659264" behindDoc="0" locked="0" layoutInCell="1" allowOverlap="1" wp14:anchorId="5A6828A9" wp14:editId="7EF2F8F7">
                <wp:simplePos x="0" y="0"/>
                <wp:positionH relativeFrom="column">
                  <wp:posOffset>4775200</wp:posOffset>
                </wp:positionH>
                <wp:positionV relativeFrom="paragraph">
                  <wp:posOffset>3175000</wp:posOffset>
                </wp:positionV>
                <wp:extent cx="1479550" cy="793750"/>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1479550" cy="793750"/>
                        </a:xfrm>
                        <a:prstGeom prst="rect">
                          <a:avLst/>
                        </a:prstGeom>
                        <a:solidFill>
                          <a:schemeClr val="lt1"/>
                        </a:solidFill>
                        <a:ln w="6350">
                          <a:solidFill>
                            <a:schemeClr val="accent2">
                              <a:lumMod val="75000"/>
                            </a:schemeClr>
                          </a:solidFill>
                        </a:ln>
                      </wps:spPr>
                      <wps:txbx>
                        <w:txbxContent>
                          <w:p w14:paraId="3C63F9D5" w14:textId="2919C387" w:rsidR="00691D2D" w:rsidRPr="00691D2D" w:rsidRDefault="00691D2D" w:rsidP="006C56CA">
                            <w:pPr>
                              <w:rPr>
                                <w:b/>
                                <w:bCs/>
                                <w:u w:val="single"/>
                                <w:lang w:val="en-GB"/>
                              </w:rPr>
                            </w:pPr>
                            <w:r w:rsidRPr="00691D2D">
                              <w:rPr>
                                <w:b/>
                                <w:bCs/>
                                <w:u w:val="single"/>
                                <w:lang w:val="en-GB"/>
                              </w:rPr>
                              <w:t xml:space="preserve">Status </w:t>
                            </w:r>
                            <w:r>
                              <w:rPr>
                                <w:b/>
                                <w:bCs/>
                                <w:u w:val="single"/>
                                <w:lang w:val="en-GB"/>
                              </w:rPr>
                              <w:t>in</w:t>
                            </w:r>
                            <w:r w:rsidRPr="00691D2D">
                              <w:rPr>
                                <w:b/>
                                <w:bCs/>
                                <w:u w:val="single"/>
                                <w:lang w:val="en-GB"/>
                              </w:rPr>
                              <w:t xml:space="preserve"> 2020</w:t>
                            </w:r>
                          </w:p>
                          <w:p w14:paraId="61E86421" w14:textId="29D747B9" w:rsidR="00691D2D" w:rsidRDefault="00691D2D">
                            <w:pPr>
                              <w:rPr>
                                <w:lang w:val="en-GB"/>
                              </w:rPr>
                            </w:pPr>
                            <w:r>
                              <w:rPr>
                                <w:lang w:val="en-GB"/>
                              </w:rPr>
                              <w:t xml:space="preserve">SMC eligible </w:t>
                            </w:r>
                          </w:p>
                          <w:p w14:paraId="5FE2FD2B" w14:textId="0948918A" w:rsidR="00691D2D" w:rsidRDefault="00691D2D">
                            <w:pPr>
                              <w:rPr>
                                <w:lang w:val="en-GB"/>
                              </w:rPr>
                            </w:pPr>
                            <w:r>
                              <w:rPr>
                                <w:lang w:val="en-GB"/>
                              </w:rPr>
                              <w:t xml:space="preserve">Non-SMC </w:t>
                            </w:r>
                          </w:p>
                          <w:p w14:paraId="24199017" w14:textId="16ED54B4" w:rsidR="00691D2D" w:rsidRPr="00691D2D" w:rsidRDefault="00691D2D">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828A9" id="_x0000_t202" coordsize="21600,21600" o:spt="202" path="m,l,21600r21600,l21600,xe">
                <v:stroke joinstyle="miter"/>
                <v:path gradientshapeok="t" o:connecttype="rect"/>
              </v:shapetype>
              <v:shape id="Text Box 6" o:spid="_x0000_s1026" type="#_x0000_t202" style="position:absolute;left:0;text-align:left;margin-left:376pt;margin-top:250pt;width:116.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" fillcolor="white [3201]" strokecolor="#943634 [2405]" strokeweight=".5pt">
                <v:textbox>
                  <w:txbxContent>
                    <w:p w14:paraId="3C63F9D5" w14:textId="2919C387" w:rsidR="00691D2D" w:rsidRPr="00691D2D" w:rsidRDefault="00691D2D" w:rsidP="006C56CA">
                      <w:pPr>
                        <w:rPr>
                          <w:b/>
                          <w:bCs/>
                          <w:u w:val="single"/>
                          <w:lang w:val="en-GB"/>
                        </w:rPr>
                      </w:pPr>
                      <w:r w:rsidRPr="00691D2D">
                        <w:rPr>
                          <w:b/>
                          <w:bCs/>
                          <w:u w:val="single"/>
                          <w:lang w:val="en-GB"/>
                        </w:rPr>
                        <w:t xml:space="preserve">Status </w:t>
                      </w:r>
                      <w:r>
                        <w:rPr>
                          <w:b/>
                          <w:bCs/>
                          <w:u w:val="single"/>
                          <w:lang w:val="en-GB"/>
                        </w:rPr>
                        <w:t>in</w:t>
                      </w:r>
                      <w:r w:rsidRPr="00691D2D">
                        <w:rPr>
                          <w:b/>
                          <w:bCs/>
                          <w:u w:val="single"/>
                          <w:lang w:val="en-GB"/>
                        </w:rPr>
                        <w:t xml:space="preserve"> 2020</w:t>
                      </w:r>
                    </w:p>
                    <w:p w14:paraId="61E86421" w14:textId="29D747B9" w:rsidR="00691D2D" w:rsidRDefault="00691D2D">
                      <w:pPr>
                        <w:rPr>
                          <w:lang w:val="en-GB"/>
                        </w:rPr>
                      </w:pPr>
                      <w:r>
                        <w:rPr>
                          <w:lang w:val="en-GB"/>
                        </w:rPr>
                        <w:t xml:space="preserve">SMC eligible </w:t>
                      </w:r>
                    </w:p>
                    <w:p w14:paraId="5FE2FD2B" w14:textId="0948918A" w:rsidR="00691D2D" w:rsidRDefault="00691D2D">
                      <w:pPr>
                        <w:rPr>
                          <w:lang w:val="en-GB"/>
                        </w:rPr>
                      </w:pPr>
                      <w:r>
                        <w:rPr>
                          <w:lang w:val="en-GB"/>
                        </w:rPr>
                        <w:t xml:space="preserve">Non-SMC </w:t>
                      </w:r>
                    </w:p>
                    <w:p w14:paraId="24199017" w14:textId="16ED54B4" w:rsidR="00691D2D" w:rsidRPr="00691D2D" w:rsidRDefault="00691D2D">
                      <w:pPr>
                        <w:rPr>
                          <w:lang w:val="en-GB"/>
                        </w:rPr>
                      </w:pPr>
                    </w:p>
                  </w:txbxContent>
                </v:textbox>
              </v:shape>
            </w:pict>
          </mc:Fallback>
        </mc:AlternateContent>
      </w:r>
      <w:r w:rsidRPr="00691D2D">
        <w:rPr>
          <w:rFonts w:eastAsia="Calibri"/>
          <w:noProof/>
        </w:rPr>
        <mc:AlternateContent>
          <mc:Choice Requires="wps">
            <w:drawing>
              <wp:anchor distT="0" distB="0" distL="114300" distR="114300" simplePos="0" relativeHeight="251662336" behindDoc="0" locked="0" layoutInCell="1" allowOverlap="1" wp14:anchorId="66D7F1B2" wp14:editId="531358FF">
                <wp:simplePos x="0" y="0"/>
                <wp:positionH relativeFrom="column">
                  <wp:posOffset>5822950</wp:posOffset>
                </wp:positionH>
                <wp:positionV relativeFrom="paragraph">
                  <wp:posOffset>3810000</wp:posOffset>
                </wp:positionV>
                <wp:extent cx="368300" cy="12700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368300" cy="127000"/>
                        </a:xfrm>
                        <a:prstGeom prst="rect">
                          <a:avLst/>
                        </a:prstGeom>
                      </wps:spPr>
                      <wps:style>
                        <a:lnRef idx="2">
                          <a:schemeClr val="dk1"/>
                        </a:lnRef>
                        <a:fillRef idx="1">
                          <a:schemeClr val="lt1"/>
                        </a:fillRef>
                        <a:effectRef idx="0">
                          <a:schemeClr val="dk1"/>
                        </a:effectRef>
                        <a:fontRef idx="minor">
                          <a:schemeClr val="dk1"/>
                        </a:fontRef>
                      </wps:style>
                      <wps:txbx>
                        <w:txbxContent>
                          <w:p w14:paraId="13C726C1" w14:textId="77777777" w:rsidR="00691D2D" w:rsidRDefault="00691D2D" w:rsidP="00691D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7F1B2" id="Rectangle 12" o:spid="_x0000_s1027" style="position:absolute;left:0;text-align:left;margin-left:458.5pt;margin-top:300pt;width:29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" fillcolor="white [3201]" strokecolor="black [3200]" strokeweight="2pt">
                <v:textbox>
                  <w:txbxContent>
                    <w:p w14:paraId="13C726C1" w14:textId="77777777" w:rsidR="00691D2D" w:rsidRDefault="00691D2D" w:rsidP="00691D2D">
                      <w:pPr>
                        <w:jc w:val="center"/>
                      </w:pPr>
                    </w:p>
                  </w:txbxContent>
                </v:textbox>
              </v:rect>
            </w:pict>
          </mc:Fallback>
        </mc:AlternateContent>
      </w:r>
      <w:r w:rsidRPr="00691D2D">
        <w:rPr>
          <w:rFonts w:eastAsia="Calibri"/>
          <w:noProof/>
        </w:rPr>
        <mc:AlternateContent>
          <mc:Choice Requires="wps">
            <w:drawing>
              <wp:anchor distT="0" distB="0" distL="114300" distR="114300" simplePos="0" relativeHeight="251660288" behindDoc="0" locked="0" layoutInCell="1" allowOverlap="1" wp14:anchorId="2B61EA3C" wp14:editId="27F02937">
                <wp:simplePos x="0" y="0"/>
                <wp:positionH relativeFrom="column">
                  <wp:posOffset>5829300</wp:posOffset>
                </wp:positionH>
                <wp:positionV relativeFrom="paragraph">
                  <wp:posOffset>3517900</wp:posOffset>
                </wp:positionV>
                <wp:extent cx="355600" cy="120650"/>
                <wp:effectExtent l="57150" t="57150" r="63500" b="107950"/>
                <wp:wrapNone/>
                <wp:docPr id="10" name="Rectangle 10"/>
                <wp:cNvGraphicFramePr/>
                <a:graphic xmlns:a="http://schemas.openxmlformats.org/drawingml/2006/main">
                  <a:graphicData uri="http://schemas.microsoft.com/office/word/2010/wordprocessingShape">
                    <wps:wsp>
                      <wps:cNvSpPr/>
                      <wps:spPr>
                        <a:xfrm>
                          <a:off x="0" y="0"/>
                          <a:ext cx="355600" cy="120650"/>
                        </a:xfrm>
                        <a:prstGeom prst="rect">
                          <a:avLst/>
                        </a:prstGeom>
                        <a:solidFill>
                          <a:srgbClr val="FFC000"/>
                        </a:solidFill>
                      </wps:spPr>
                      <wps:style>
                        <a:lnRef idx="0">
                          <a:schemeClr val="accent6"/>
                        </a:lnRef>
                        <a:fillRef idx="3">
                          <a:schemeClr val="accent6"/>
                        </a:fillRef>
                        <a:effectRef idx="3">
                          <a:schemeClr val="accent6"/>
                        </a:effectRef>
                        <a:fontRef idx="minor">
                          <a:schemeClr val="lt1"/>
                        </a:fontRef>
                      </wps:style>
                      <wps:txbx>
                        <w:txbxContent>
                          <w:p w14:paraId="42CF450C" w14:textId="77777777" w:rsidR="00691D2D" w:rsidRDefault="00691D2D" w:rsidP="00691D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1EA3C" id="Rectangle 10" o:spid="_x0000_s1028" style="position:absolute;left:0;text-align:left;margin-left:459pt;margin-top:277pt;width:28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" fillcolor="#ffc000" stroked="f">
                <v:shadow on="t" color="black" opacity="22937f" origin=",.5" offset="0,.63889mm"/>
                <v:textbox>
                  <w:txbxContent>
                    <w:p w14:paraId="42CF450C" w14:textId="77777777" w:rsidR="00691D2D" w:rsidRDefault="00691D2D" w:rsidP="00691D2D">
                      <w:pPr>
                        <w:jc w:val="center"/>
                      </w:pPr>
                    </w:p>
                  </w:txbxContent>
                </v:textbox>
              </v:rect>
            </w:pict>
          </mc:Fallback>
        </mc:AlternateContent>
      </w:r>
      <w:r w:rsidR="00352830" w:rsidRPr="00F53B4A">
        <w:rPr>
          <w:rFonts w:eastAsia="Calibri"/>
          <w:noProof/>
        </w:rPr>
        <w:drawing>
          <wp:inline distT="0" distB="0" distL="0" distR="0" wp14:anchorId="7DC5AA07" wp14:editId="4B8FF4AA">
            <wp:extent cx="5381625" cy="4524375"/>
            <wp:effectExtent l="0" t="0" r="9525" b="9525"/>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381625" cy="4524375"/>
                    </a:xfrm>
                    <a:prstGeom prst="rect">
                      <a:avLst/>
                    </a:prstGeom>
                    <a:ln/>
                  </pic:spPr>
                </pic:pic>
              </a:graphicData>
            </a:graphic>
          </wp:inline>
        </w:drawing>
      </w:r>
    </w:p>
    <w:p w14:paraId="1FD9539F" w14:textId="315828F3" w:rsidR="00A53502" w:rsidRPr="00691D2D" w:rsidRDefault="00352830">
      <w:pPr>
        <w:spacing w:after="240"/>
        <w:rPr>
          <w:rFonts w:eastAsia="Calibri"/>
          <w:b/>
        </w:rPr>
      </w:pPr>
      <w:r w:rsidRPr="00691D2D">
        <w:rPr>
          <w:rFonts w:eastAsia="Calibri"/>
          <w:b/>
        </w:rPr>
        <w:t xml:space="preserve">Figure 1: Nine </w:t>
      </w:r>
      <w:r w:rsidR="00091588" w:rsidRPr="00691D2D">
        <w:rPr>
          <w:rFonts w:eastAsia="Calibri"/>
          <w:b/>
        </w:rPr>
        <w:t xml:space="preserve">States </w:t>
      </w:r>
      <w:r w:rsidRPr="00691D2D">
        <w:rPr>
          <w:rFonts w:eastAsia="Calibri"/>
          <w:b/>
        </w:rPr>
        <w:t xml:space="preserve">in </w:t>
      </w:r>
      <w:r w:rsidR="00091588" w:rsidRPr="00691D2D">
        <w:rPr>
          <w:rFonts w:eastAsia="Calibri"/>
          <w:b/>
        </w:rPr>
        <w:t xml:space="preserve">the Sahel area of </w:t>
      </w:r>
      <w:r w:rsidRPr="00691D2D">
        <w:rPr>
          <w:rFonts w:eastAsia="Calibri"/>
          <w:b/>
        </w:rPr>
        <w:t xml:space="preserve">Nigeria eligible for </w:t>
      </w:r>
      <w:r w:rsidR="0080589B" w:rsidRPr="0080589B">
        <w:rPr>
          <w:rFonts w:eastAsia="Calibri"/>
          <w:b/>
        </w:rPr>
        <w:t>Seasonal Malaria Chemoprevention</w:t>
      </w:r>
      <w:r w:rsidRPr="00691D2D">
        <w:rPr>
          <w:rFonts w:eastAsia="Calibri"/>
          <w:b/>
        </w:rPr>
        <w:t xml:space="preserve"> as </w:t>
      </w:r>
      <w:r w:rsidR="00091588" w:rsidRPr="00691D2D">
        <w:rPr>
          <w:rFonts w:eastAsia="Calibri"/>
          <w:b/>
        </w:rPr>
        <w:t xml:space="preserve">at </w:t>
      </w:r>
      <w:r w:rsidRPr="00691D2D">
        <w:rPr>
          <w:rFonts w:eastAsia="Calibri"/>
          <w:b/>
        </w:rPr>
        <w:t>2020</w:t>
      </w:r>
    </w:p>
    <w:p w14:paraId="6F69D054" w14:textId="339F5B25" w:rsidR="00A53502" w:rsidRPr="00F53B4A" w:rsidRDefault="00A53502">
      <w:pPr>
        <w:spacing w:after="240"/>
        <w:rPr>
          <w:rFonts w:eastAsia="Calibri"/>
        </w:rPr>
      </w:pPr>
    </w:p>
    <w:p w14:paraId="4FF5F260" w14:textId="6EC6C500" w:rsidR="00A64F6E" w:rsidRDefault="00352830">
      <w:pPr>
        <w:spacing w:after="240"/>
        <w:rPr>
          <w:rFonts w:eastAsia="Calibri"/>
        </w:rPr>
      </w:pPr>
      <w:r w:rsidRPr="00F53B4A">
        <w:rPr>
          <w:rFonts w:eastAsia="Calibri"/>
        </w:rPr>
        <w:t>Currently, over 9 million children</w:t>
      </w:r>
      <w:r w:rsidR="005F60CB">
        <w:rPr>
          <w:rFonts w:eastAsia="Calibri"/>
        </w:rPr>
        <w:t xml:space="preserve"> aged</w:t>
      </w:r>
      <w:r w:rsidRPr="00F53B4A">
        <w:rPr>
          <w:rFonts w:eastAsia="Calibri"/>
        </w:rPr>
        <w:t xml:space="preserve"> 3</w:t>
      </w:r>
      <w:r w:rsidR="005F60CB">
        <w:rPr>
          <w:rFonts w:ascii="Calibri" w:eastAsia="Calibri" w:hAnsi="Calibri" w:cs="Calibri"/>
        </w:rPr>
        <w:t>–</w:t>
      </w:r>
      <w:r w:rsidRPr="00F53B4A">
        <w:rPr>
          <w:rFonts w:eastAsia="Calibri"/>
        </w:rPr>
        <w:t xml:space="preserve">59 months are eligible for SMC in these states. However, </w:t>
      </w:r>
      <w:r w:rsidR="00A64F6E">
        <w:rPr>
          <w:rFonts w:eastAsia="Calibri"/>
        </w:rPr>
        <w:t>a</w:t>
      </w:r>
      <w:r w:rsidR="00A64F6E" w:rsidRPr="00F53B4A">
        <w:rPr>
          <w:rFonts w:eastAsia="Calibri"/>
        </w:rPr>
        <w:t xml:space="preserve"> </w:t>
      </w:r>
      <w:r w:rsidRPr="00F53B4A">
        <w:rPr>
          <w:rFonts w:eastAsia="Calibri"/>
        </w:rPr>
        <w:t xml:space="preserve">recent malaria risk stratification </w:t>
      </w:r>
      <w:r w:rsidR="00A64F6E">
        <w:rPr>
          <w:rFonts w:eastAsia="Calibri"/>
        </w:rPr>
        <w:t>mapping that was conducted by the National Malaria Elimination  (NMEP) as part of the review of</w:t>
      </w:r>
      <w:r w:rsidRPr="00F53B4A">
        <w:rPr>
          <w:rFonts w:eastAsia="Calibri"/>
        </w:rPr>
        <w:t xml:space="preserve"> the</w:t>
      </w:r>
      <w:r w:rsidR="00A64F6E">
        <w:rPr>
          <w:rFonts w:eastAsia="Calibri"/>
        </w:rPr>
        <w:t xml:space="preserve"> 2014-2020</w:t>
      </w:r>
      <w:r w:rsidRPr="00F53B4A">
        <w:rPr>
          <w:rFonts w:eastAsia="Calibri"/>
        </w:rPr>
        <w:t xml:space="preserve"> National Malaria Strategic Plan</w:t>
      </w:r>
      <w:r w:rsidR="00A64F6E">
        <w:rPr>
          <w:rFonts w:eastAsia="Calibri"/>
        </w:rPr>
        <w:t xml:space="preserve"> (NMSP)</w:t>
      </w:r>
      <w:r w:rsidRPr="00F53B4A">
        <w:rPr>
          <w:rFonts w:eastAsia="Calibri"/>
        </w:rPr>
        <w:t xml:space="preserve">, </w:t>
      </w:r>
      <w:r w:rsidR="00A64F6E">
        <w:rPr>
          <w:rFonts w:eastAsia="Calibri"/>
        </w:rPr>
        <w:t xml:space="preserve">identified the need to </w:t>
      </w:r>
      <w:r w:rsidRPr="00F53B4A">
        <w:rPr>
          <w:rFonts w:eastAsia="Calibri"/>
        </w:rPr>
        <w:t xml:space="preserve">expand the </w:t>
      </w:r>
      <w:r w:rsidR="00A64F6E">
        <w:rPr>
          <w:rFonts w:eastAsia="Calibri"/>
        </w:rPr>
        <w:t xml:space="preserve">geographical </w:t>
      </w:r>
      <w:r w:rsidRPr="00F53B4A">
        <w:rPr>
          <w:rFonts w:eastAsia="Calibri"/>
        </w:rPr>
        <w:t xml:space="preserve">scope of </w:t>
      </w:r>
      <w:r w:rsidR="00A64F6E">
        <w:rPr>
          <w:rFonts w:eastAsia="Calibri"/>
        </w:rPr>
        <w:t xml:space="preserve">the </w:t>
      </w:r>
      <w:r w:rsidRPr="00F53B4A">
        <w:rPr>
          <w:rFonts w:eastAsia="Calibri"/>
        </w:rPr>
        <w:t xml:space="preserve">SMC implementation scale to include </w:t>
      </w:r>
      <w:r w:rsidR="00A64F6E" w:rsidRPr="00F53B4A">
        <w:rPr>
          <w:rFonts w:eastAsia="Calibri"/>
        </w:rPr>
        <w:t xml:space="preserve">States </w:t>
      </w:r>
      <w:r w:rsidRPr="00F53B4A">
        <w:rPr>
          <w:rFonts w:eastAsia="Calibri"/>
        </w:rPr>
        <w:t xml:space="preserve">in the non-Sahel region </w:t>
      </w:r>
      <w:r w:rsidR="00A64F6E">
        <w:rPr>
          <w:rFonts w:eastAsia="Calibri"/>
        </w:rPr>
        <w:t xml:space="preserve">that are emerging </w:t>
      </w:r>
      <w:r w:rsidRPr="00F53B4A">
        <w:rPr>
          <w:rFonts w:eastAsia="Calibri"/>
        </w:rPr>
        <w:t>with similar rainfall pattern</w:t>
      </w:r>
      <w:r w:rsidR="00A64F6E">
        <w:rPr>
          <w:rFonts w:eastAsia="Calibri"/>
        </w:rPr>
        <w:t xml:space="preserve">, thus similar malaria transmission intensity </w:t>
      </w:r>
      <w:r w:rsidRPr="00F53B4A">
        <w:rPr>
          <w:rFonts w:eastAsia="Calibri"/>
        </w:rPr>
        <w:t xml:space="preserve">The </w:t>
      </w:r>
      <w:r w:rsidR="00A64F6E">
        <w:rPr>
          <w:rFonts w:eastAsia="Calibri"/>
        </w:rPr>
        <w:t xml:space="preserve">additional </w:t>
      </w:r>
      <w:r w:rsidR="00A64F6E" w:rsidRPr="00F53B4A">
        <w:rPr>
          <w:rFonts w:eastAsia="Calibri"/>
        </w:rPr>
        <w:t xml:space="preserve">States (Figure 2) </w:t>
      </w:r>
      <w:r w:rsidR="00A64F6E">
        <w:rPr>
          <w:rFonts w:eastAsia="Calibri"/>
        </w:rPr>
        <w:t>have been proposed in the next NMSP 2021</w:t>
      </w:r>
      <w:r w:rsidR="005F60CB">
        <w:rPr>
          <w:rFonts w:ascii="Calibri" w:eastAsia="Calibri" w:hAnsi="Calibri" w:cs="Calibri"/>
        </w:rPr>
        <w:t>–</w:t>
      </w:r>
      <w:r w:rsidR="00A64F6E">
        <w:rPr>
          <w:rFonts w:eastAsia="Calibri"/>
        </w:rPr>
        <w:t xml:space="preserve">2025 </w:t>
      </w:r>
      <w:r w:rsidRPr="00F53B4A">
        <w:rPr>
          <w:rFonts w:eastAsia="Calibri"/>
        </w:rPr>
        <w:t xml:space="preserve">to also implement SMC with the support of the </w:t>
      </w:r>
      <w:r w:rsidR="00A64F6E">
        <w:rPr>
          <w:rFonts w:eastAsia="Calibri"/>
        </w:rPr>
        <w:t xml:space="preserve">NMEP </w:t>
      </w:r>
      <w:r w:rsidRPr="00F53B4A">
        <w:rPr>
          <w:rFonts w:eastAsia="Calibri"/>
        </w:rPr>
        <w:t xml:space="preserve">and its Roll Back Malaria (RBM) partners.  </w:t>
      </w:r>
    </w:p>
    <w:p w14:paraId="69FBA1A7" w14:textId="77777777" w:rsidR="00A64F6E" w:rsidRDefault="00A64F6E">
      <w:pPr>
        <w:spacing w:after="240"/>
        <w:rPr>
          <w:rFonts w:eastAsia="Calibri"/>
        </w:rPr>
      </w:pPr>
    </w:p>
    <w:p w14:paraId="496A10FD" w14:textId="0E94C8FE" w:rsidR="00A53502" w:rsidRPr="00F53B4A" w:rsidRDefault="00352830">
      <w:pPr>
        <w:spacing w:after="240"/>
        <w:rPr>
          <w:rFonts w:eastAsia="Calibri"/>
        </w:rPr>
      </w:pPr>
      <w:r w:rsidRPr="00F53B4A">
        <w:rPr>
          <w:rFonts w:eastAsia="Calibri"/>
        </w:rPr>
        <w:t xml:space="preserve">This protocol </w:t>
      </w:r>
      <w:r w:rsidR="00A64F6E">
        <w:rPr>
          <w:rFonts w:eastAsia="Calibri"/>
        </w:rPr>
        <w:t>was developed to provide</w:t>
      </w:r>
      <w:r w:rsidRPr="00F53B4A">
        <w:rPr>
          <w:rFonts w:eastAsia="Calibri"/>
        </w:rPr>
        <w:t xml:space="preserve"> guidance for the collection of end-of-round coverage data after the implementation of the fourth cycle of SMC which will be used to measure key performance indicators over the entire round for each year of SMC implementation. </w:t>
      </w:r>
    </w:p>
    <w:p w14:paraId="051A9819" w14:textId="77777777" w:rsidR="00A53502" w:rsidRPr="00F53B4A" w:rsidRDefault="00352830">
      <w:pPr>
        <w:spacing w:after="240"/>
        <w:rPr>
          <w:rFonts w:eastAsia="Calibri"/>
        </w:rPr>
      </w:pPr>
      <w:r w:rsidRPr="00F53B4A">
        <w:rPr>
          <w:rFonts w:eastAsia="Calibri"/>
          <w:noProof/>
        </w:rPr>
        <w:drawing>
          <wp:inline distT="0" distB="0" distL="0" distR="0" wp14:anchorId="5A947CF7" wp14:editId="5D35D377">
            <wp:extent cx="5143500" cy="4067175"/>
            <wp:effectExtent l="0" t="0" r="0" b="952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144479" cy="4067949"/>
                    </a:xfrm>
                    <a:prstGeom prst="rect">
                      <a:avLst/>
                    </a:prstGeom>
                    <a:ln/>
                  </pic:spPr>
                </pic:pic>
              </a:graphicData>
            </a:graphic>
          </wp:inline>
        </w:drawing>
      </w:r>
    </w:p>
    <w:p w14:paraId="6849B6EB" w14:textId="138A5790" w:rsidR="00A53502" w:rsidRPr="00691D2D" w:rsidRDefault="00352830">
      <w:pPr>
        <w:spacing w:after="240"/>
        <w:rPr>
          <w:rFonts w:eastAsia="Calibri"/>
          <w:b/>
        </w:rPr>
      </w:pPr>
      <w:r w:rsidRPr="00691D2D">
        <w:rPr>
          <w:rFonts w:eastAsia="Calibri"/>
          <w:b/>
        </w:rPr>
        <w:t xml:space="preserve">Figure 2: </w:t>
      </w:r>
      <w:r w:rsidR="0080589B" w:rsidRPr="00691D2D">
        <w:rPr>
          <w:rFonts w:eastAsia="Calibri"/>
          <w:b/>
        </w:rPr>
        <w:t>Nine Sahel subregion States plus nine newly</w:t>
      </w:r>
      <w:r w:rsidR="005810C5">
        <w:rPr>
          <w:rFonts w:eastAsia="Calibri"/>
          <w:b/>
        </w:rPr>
        <w:t>-</w:t>
      </w:r>
      <w:r w:rsidR="0080589B" w:rsidRPr="00691D2D">
        <w:rPr>
          <w:rFonts w:eastAsia="Calibri"/>
          <w:b/>
        </w:rPr>
        <w:t xml:space="preserve">identified States </w:t>
      </w:r>
      <w:r w:rsidRPr="00691D2D">
        <w:rPr>
          <w:rFonts w:eastAsia="Calibri"/>
          <w:b/>
        </w:rPr>
        <w:t xml:space="preserve">eligible for </w:t>
      </w:r>
      <w:r w:rsidR="0080589B" w:rsidRPr="00691D2D">
        <w:rPr>
          <w:rFonts w:eastAsia="Calibri"/>
          <w:b/>
        </w:rPr>
        <w:t xml:space="preserve">Seasonal Malaria Chemoprevention </w:t>
      </w:r>
      <w:r w:rsidRPr="00691D2D">
        <w:rPr>
          <w:rFonts w:eastAsia="Calibri"/>
          <w:b/>
        </w:rPr>
        <w:t xml:space="preserve">in Nigeria </w:t>
      </w:r>
    </w:p>
    <w:p w14:paraId="6EFB4C48" w14:textId="77777777" w:rsidR="00A53502" w:rsidRPr="00F53B4A" w:rsidRDefault="00A53502">
      <w:pPr>
        <w:spacing w:after="240"/>
        <w:rPr>
          <w:rFonts w:eastAsia="Calibri"/>
        </w:rPr>
      </w:pPr>
    </w:p>
    <w:p w14:paraId="39AA4A1C" w14:textId="77777777" w:rsidR="00A53502" w:rsidRPr="00F53B4A" w:rsidRDefault="00352830" w:rsidP="00F53B4A">
      <w:pPr>
        <w:pStyle w:val="Heading1"/>
      </w:pPr>
      <w:bookmarkStart w:id="6" w:name="_Toc53960778"/>
      <w:r w:rsidRPr="00F53B4A">
        <w:t>SURVEY OBJECTIVES</w:t>
      </w:r>
      <w:bookmarkEnd w:id="6"/>
    </w:p>
    <w:p w14:paraId="54E9FA00" w14:textId="7A0AE1B0" w:rsidR="005C34FE" w:rsidRDefault="00352830">
      <w:pPr>
        <w:spacing w:after="240"/>
        <w:rPr>
          <w:rFonts w:eastAsia="Calibri"/>
        </w:rPr>
      </w:pPr>
      <w:r w:rsidRPr="00F53B4A">
        <w:rPr>
          <w:rFonts w:eastAsia="Calibri"/>
        </w:rPr>
        <w:t>The overall goal of the end</w:t>
      </w:r>
      <w:r w:rsidR="00021E4A">
        <w:rPr>
          <w:rFonts w:eastAsia="Calibri"/>
        </w:rPr>
        <w:t xml:space="preserve">-of-round coverage survey is to </w:t>
      </w:r>
      <w:r w:rsidR="004E47BA">
        <w:rPr>
          <w:rFonts w:eastAsia="Calibri"/>
        </w:rPr>
        <w:t>establish the</w:t>
      </w:r>
      <w:r w:rsidRPr="00F53B4A">
        <w:rPr>
          <w:rFonts w:eastAsia="Calibri"/>
        </w:rPr>
        <w:t xml:space="preserve"> </w:t>
      </w:r>
      <w:r w:rsidR="004E47BA">
        <w:rPr>
          <w:rFonts w:eastAsia="Calibri"/>
        </w:rPr>
        <w:t xml:space="preserve">SMC </w:t>
      </w:r>
      <w:r w:rsidRPr="00F53B4A">
        <w:rPr>
          <w:rFonts w:eastAsia="Calibri"/>
        </w:rPr>
        <w:t xml:space="preserve">coverage and </w:t>
      </w:r>
      <w:r w:rsidR="004E47BA">
        <w:rPr>
          <w:rFonts w:eastAsia="Calibri"/>
        </w:rPr>
        <w:t xml:space="preserve">determine the </w:t>
      </w:r>
      <w:r w:rsidRPr="00F53B4A">
        <w:rPr>
          <w:rFonts w:eastAsia="Calibri"/>
        </w:rPr>
        <w:t xml:space="preserve">quality of implementation of the fourth cycle and the overall SMC campaign in the implementing states. </w:t>
      </w:r>
      <w:r w:rsidR="005C34FE">
        <w:rPr>
          <w:rFonts w:eastAsia="Calibri"/>
        </w:rPr>
        <w:t>The primary and secondary objectives of the survey are listed below.</w:t>
      </w:r>
    </w:p>
    <w:p w14:paraId="2F28A612" w14:textId="77777777" w:rsidR="005C34FE" w:rsidRDefault="005C34FE" w:rsidP="007C5112">
      <w:pPr>
        <w:pStyle w:val="Heading2"/>
      </w:pPr>
      <w:bookmarkStart w:id="7" w:name="_Toc53960779"/>
      <w:r>
        <w:lastRenderedPageBreak/>
        <w:t>Primary objectives</w:t>
      </w:r>
      <w:bookmarkEnd w:id="7"/>
    </w:p>
    <w:p w14:paraId="4577D2BC" w14:textId="77777777" w:rsidR="00A53502" w:rsidRPr="00F53B4A" w:rsidRDefault="005C34FE">
      <w:pPr>
        <w:spacing w:after="240"/>
        <w:rPr>
          <w:rFonts w:eastAsia="Calibri"/>
        </w:rPr>
      </w:pPr>
      <w:r>
        <w:rPr>
          <w:rFonts w:eastAsia="Calibri"/>
        </w:rPr>
        <w:t xml:space="preserve">The primary objectives of the </w:t>
      </w:r>
      <w:r w:rsidR="00352830" w:rsidRPr="00F53B4A">
        <w:rPr>
          <w:rFonts w:eastAsia="Calibri"/>
        </w:rPr>
        <w:t xml:space="preserve">surveys </w:t>
      </w:r>
      <w:r>
        <w:rPr>
          <w:rFonts w:eastAsia="Calibri"/>
        </w:rPr>
        <w:t xml:space="preserve">are </w:t>
      </w:r>
      <w:r w:rsidR="00352830" w:rsidRPr="00F53B4A">
        <w:rPr>
          <w:rFonts w:eastAsia="Calibri"/>
        </w:rPr>
        <w:t>to:</w:t>
      </w:r>
    </w:p>
    <w:p w14:paraId="20DC5A1B" w14:textId="4369E179" w:rsidR="00A53502" w:rsidRPr="00F53B4A" w:rsidRDefault="004E47BA">
      <w:pPr>
        <w:numPr>
          <w:ilvl w:val="0"/>
          <w:numId w:val="7"/>
        </w:numPr>
        <w:pBdr>
          <w:top w:val="nil"/>
          <w:left w:val="nil"/>
          <w:bottom w:val="nil"/>
          <w:right w:val="nil"/>
          <w:between w:val="nil"/>
        </w:pBdr>
        <w:jc w:val="left"/>
        <w:rPr>
          <w:rFonts w:eastAsia="Calibri"/>
          <w:color w:val="000000"/>
        </w:rPr>
      </w:pPr>
      <w:r>
        <w:rPr>
          <w:rFonts w:eastAsia="Calibri"/>
          <w:color w:val="000000"/>
        </w:rPr>
        <w:t>Determine the proportion of</w:t>
      </w:r>
      <w:r w:rsidRPr="00F53B4A">
        <w:rPr>
          <w:rFonts w:eastAsia="Calibri"/>
          <w:color w:val="000000"/>
        </w:rPr>
        <w:t xml:space="preserve"> </w:t>
      </w:r>
      <w:r w:rsidR="00352830" w:rsidRPr="00F53B4A">
        <w:rPr>
          <w:rFonts w:eastAsia="Calibri"/>
          <w:color w:val="000000"/>
        </w:rPr>
        <w:t xml:space="preserve">self-reported </w:t>
      </w:r>
      <w:r>
        <w:rPr>
          <w:rFonts w:eastAsia="Calibri"/>
          <w:color w:val="000000"/>
        </w:rPr>
        <w:t xml:space="preserve">SPAQ administration </w:t>
      </w:r>
      <w:r w:rsidR="00352830" w:rsidRPr="00F53B4A">
        <w:rPr>
          <w:rFonts w:eastAsia="Calibri"/>
          <w:color w:val="000000"/>
        </w:rPr>
        <w:t>among the targeted population (children between 3 and 59 months) during cycle</w:t>
      </w:r>
      <w:r w:rsidR="00EE1053">
        <w:rPr>
          <w:rFonts w:eastAsia="Calibri"/>
          <w:color w:val="000000"/>
        </w:rPr>
        <w:t>s</w:t>
      </w:r>
      <w:r w:rsidR="00352830" w:rsidRPr="00F53B4A">
        <w:rPr>
          <w:rFonts w:eastAsia="Calibri"/>
          <w:color w:val="000000"/>
        </w:rPr>
        <w:t xml:space="preserve"> 1 to 4 </w:t>
      </w:r>
    </w:p>
    <w:p w14:paraId="40796F30" w14:textId="09F74C9D" w:rsidR="00A53502" w:rsidRPr="00EE1053" w:rsidRDefault="004E47BA" w:rsidP="00EE1053">
      <w:pPr>
        <w:numPr>
          <w:ilvl w:val="0"/>
          <w:numId w:val="7"/>
        </w:numPr>
        <w:pBdr>
          <w:top w:val="nil"/>
          <w:left w:val="nil"/>
          <w:bottom w:val="nil"/>
          <w:right w:val="nil"/>
          <w:between w:val="nil"/>
        </w:pBdr>
        <w:jc w:val="left"/>
        <w:rPr>
          <w:rFonts w:eastAsia="Calibri"/>
          <w:color w:val="000000"/>
        </w:rPr>
      </w:pPr>
      <w:r w:rsidRPr="00EE1053">
        <w:rPr>
          <w:rFonts w:eastAsia="Calibri"/>
          <w:color w:val="000000"/>
        </w:rPr>
        <w:t xml:space="preserve">Ascertain the level of </w:t>
      </w:r>
      <w:r w:rsidR="00352830" w:rsidRPr="00EE1053">
        <w:rPr>
          <w:rFonts w:eastAsia="Calibri"/>
          <w:color w:val="000000"/>
        </w:rPr>
        <w:t xml:space="preserve">adherence to the SMC protocol by the </w:t>
      </w:r>
      <w:r w:rsidR="006C56CA">
        <w:rPr>
          <w:rFonts w:eastAsia="Calibri"/>
          <w:color w:val="000000"/>
        </w:rPr>
        <w:t>CDs</w:t>
      </w:r>
      <w:r w:rsidR="00352830" w:rsidRPr="00EE1053">
        <w:rPr>
          <w:rFonts w:eastAsia="Calibri"/>
          <w:color w:val="000000"/>
        </w:rPr>
        <w:t xml:space="preserve"> </w:t>
      </w:r>
      <w:r w:rsidR="00EE1053" w:rsidRPr="00EE1053">
        <w:rPr>
          <w:rFonts w:eastAsia="Calibri"/>
          <w:color w:val="000000"/>
        </w:rPr>
        <w:t>during of cycle</w:t>
      </w:r>
      <w:r w:rsidR="00EE1053">
        <w:rPr>
          <w:rFonts w:eastAsia="Calibri"/>
          <w:color w:val="000000"/>
        </w:rPr>
        <w:t>s</w:t>
      </w:r>
      <w:r w:rsidR="00EE1053" w:rsidRPr="00EE1053">
        <w:rPr>
          <w:rFonts w:eastAsia="Calibri"/>
          <w:color w:val="000000"/>
        </w:rPr>
        <w:t xml:space="preserve"> 1 to 4 </w:t>
      </w:r>
    </w:p>
    <w:p w14:paraId="0DAB52D1" w14:textId="17F516DF" w:rsidR="00A53502" w:rsidRDefault="004E47BA">
      <w:pPr>
        <w:numPr>
          <w:ilvl w:val="0"/>
          <w:numId w:val="7"/>
        </w:numPr>
        <w:pBdr>
          <w:top w:val="nil"/>
          <w:left w:val="nil"/>
          <w:bottom w:val="nil"/>
          <w:right w:val="nil"/>
          <w:between w:val="nil"/>
        </w:pBdr>
        <w:jc w:val="left"/>
        <w:rPr>
          <w:rFonts w:eastAsia="Calibri"/>
          <w:color w:val="000000"/>
        </w:rPr>
      </w:pPr>
      <w:r>
        <w:rPr>
          <w:rFonts w:eastAsia="Calibri"/>
          <w:color w:val="000000"/>
        </w:rPr>
        <w:t>Determine the</w:t>
      </w:r>
      <w:r w:rsidR="00EE1053">
        <w:rPr>
          <w:rFonts w:eastAsia="Calibri"/>
          <w:color w:val="000000"/>
        </w:rPr>
        <w:t xml:space="preserve"> level of</w:t>
      </w:r>
      <w:r w:rsidRPr="00F53B4A">
        <w:rPr>
          <w:rFonts w:eastAsia="Calibri"/>
          <w:color w:val="000000"/>
        </w:rPr>
        <w:t xml:space="preserve"> </w:t>
      </w:r>
      <w:r w:rsidR="00352830" w:rsidRPr="00F53B4A">
        <w:rPr>
          <w:rFonts w:eastAsia="Calibri"/>
          <w:color w:val="000000"/>
        </w:rPr>
        <w:t xml:space="preserve">adherence to </w:t>
      </w:r>
      <w:r w:rsidR="00E866D8">
        <w:rPr>
          <w:rFonts w:eastAsia="Calibri"/>
          <w:color w:val="000000"/>
        </w:rPr>
        <w:t>SPAQ</w:t>
      </w:r>
      <w:r w:rsidR="00E866D8" w:rsidRPr="00F53B4A">
        <w:rPr>
          <w:rFonts w:eastAsia="Calibri"/>
          <w:color w:val="000000"/>
        </w:rPr>
        <w:t xml:space="preserve"> </w:t>
      </w:r>
      <w:r w:rsidR="00352830" w:rsidRPr="00F53B4A">
        <w:rPr>
          <w:rFonts w:eastAsia="Calibri"/>
          <w:color w:val="000000"/>
        </w:rPr>
        <w:t xml:space="preserve">administration regimen by caregivers </w:t>
      </w:r>
      <w:r w:rsidR="00E866D8">
        <w:rPr>
          <w:rFonts w:eastAsia="Calibri"/>
          <w:color w:val="000000"/>
        </w:rPr>
        <w:t xml:space="preserve">of targeted children on </w:t>
      </w:r>
      <w:r w:rsidR="00352830" w:rsidRPr="00F53B4A">
        <w:rPr>
          <w:rFonts w:eastAsia="Calibri"/>
          <w:color w:val="000000"/>
        </w:rPr>
        <w:t xml:space="preserve">days two and three </w:t>
      </w:r>
      <w:r w:rsidR="00E866D8">
        <w:rPr>
          <w:rFonts w:eastAsia="Calibri"/>
          <w:color w:val="000000"/>
        </w:rPr>
        <w:t>of</w:t>
      </w:r>
      <w:r w:rsidR="00E866D8" w:rsidRPr="00F53B4A">
        <w:rPr>
          <w:rFonts w:eastAsia="Calibri"/>
          <w:color w:val="000000"/>
        </w:rPr>
        <w:t xml:space="preserve"> </w:t>
      </w:r>
      <w:r w:rsidR="00352830" w:rsidRPr="00F53B4A">
        <w:rPr>
          <w:rFonts w:eastAsia="Calibri"/>
          <w:color w:val="000000"/>
        </w:rPr>
        <w:t>the fourth cycle of SMC</w:t>
      </w:r>
    </w:p>
    <w:p w14:paraId="0094CF42" w14:textId="77777777" w:rsidR="007C5112" w:rsidRDefault="007C5112" w:rsidP="007C5112">
      <w:pPr>
        <w:pBdr>
          <w:top w:val="nil"/>
          <w:left w:val="nil"/>
          <w:bottom w:val="nil"/>
          <w:right w:val="nil"/>
          <w:between w:val="nil"/>
        </w:pBdr>
        <w:ind w:left="720"/>
        <w:jc w:val="left"/>
        <w:rPr>
          <w:rFonts w:eastAsia="Calibri"/>
          <w:color w:val="000000"/>
        </w:rPr>
      </w:pPr>
    </w:p>
    <w:p w14:paraId="67DFB459" w14:textId="77777777" w:rsidR="005C34FE" w:rsidRPr="007C5112" w:rsidRDefault="007C5112" w:rsidP="007C5112">
      <w:pPr>
        <w:pStyle w:val="Heading2"/>
        <w:contextualSpacing/>
      </w:pPr>
      <w:bookmarkStart w:id="8" w:name="_Toc53960780"/>
      <w:r>
        <w:t>Secondary objectives</w:t>
      </w:r>
      <w:bookmarkEnd w:id="8"/>
    </w:p>
    <w:p w14:paraId="0C169BF8" w14:textId="77777777" w:rsidR="005C34FE" w:rsidRPr="007C5112" w:rsidRDefault="005C34FE" w:rsidP="005C34FE">
      <w:pPr>
        <w:pBdr>
          <w:top w:val="nil"/>
          <w:left w:val="nil"/>
          <w:bottom w:val="nil"/>
          <w:right w:val="nil"/>
          <w:between w:val="nil"/>
        </w:pBdr>
        <w:contextualSpacing/>
        <w:jc w:val="left"/>
        <w:rPr>
          <w:rFonts w:eastAsia="Calibri"/>
          <w:color w:val="000000"/>
        </w:rPr>
      </w:pPr>
      <w:r w:rsidRPr="007C5112">
        <w:rPr>
          <w:rFonts w:eastAsia="Calibri"/>
          <w:color w:val="000000"/>
        </w:rPr>
        <w:t>The secondary objectives are to:</w:t>
      </w:r>
    </w:p>
    <w:p w14:paraId="5A6A2BAB" w14:textId="307B2F72" w:rsidR="00A53502" w:rsidRPr="007C5112" w:rsidRDefault="00EE1053" w:rsidP="007C5112">
      <w:pPr>
        <w:pStyle w:val="ListParagraph"/>
        <w:numPr>
          <w:ilvl w:val="0"/>
          <w:numId w:val="31"/>
        </w:numPr>
        <w:pBdr>
          <w:top w:val="nil"/>
          <w:left w:val="nil"/>
          <w:bottom w:val="nil"/>
          <w:right w:val="nil"/>
          <w:between w:val="nil"/>
        </w:pBdr>
        <w:contextualSpacing/>
        <w:rPr>
          <w:rFonts w:ascii="Times New Roman" w:eastAsia="Calibri" w:hAnsi="Times New Roman" w:cs="Times New Roman"/>
          <w:color w:val="000000"/>
        </w:rPr>
      </w:pPr>
      <w:r>
        <w:rPr>
          <w:rFonts w:ascii="Times New Roman" w:eastAsia="Calibri" w:hAnsi="Times New Roman" w:cs="Times New Roman"/>
          <w:color w:val="000000"/>
        </w:rPr>
        <w:t>Identify</w:t>
      </w:r>
      <w:r w:rsidRPr="007C5112">
        <w:rPr>
          <w:rFonts w:ascii="Times New Roman" w:eastAsia="Calibri" w:hAnsi="Times New Roman" w:cs="Times New Roman"/>
          <w:color w:val="000000"/>
        </w:rPr>
        <w:t xml:space="preserve"> </w:t>
      </w:r>
      <w:r w:rsidR="00352830" w:rsidRPr="007C5112">
        <w:rPr>
          <w:rFonts w:ascii="Times New Roman" w:eastAsia="Calibri" w:hAnsi="Times New Roman" w:cs="Times New Roman"/>
          <w:color w:val="000000"/>
        </w:rPr>
        <w:t xml:space="preserve">the </w:t>
      </w:r>
      <w:r w:rsidR="00F53B4A" w:rsidRPr="007C5112">
        <w:rPr>
          <w:rFonts w:ascii="Times New Roman" w:eastAsia="Calibri" w:hAnsi="Times New Roman" w:cs="Times New Roman"/>
          <w:color w:val="000000"/>
        </w:rPr>
        <w:t>most accessed</w:t>
      </w:r>
      <w:r w:rsidR="00352830" w:rsidRPr="007C5112">
        <w:rPr>
          <w:rFonts w:ascii="Times New Roman" w:eastAsia="Calibri" w:hAnsi="Times New Roman" w:cs="Times New Roman"/>
          <w:color w:val="000000"/>
        </w:rPr>
        <w:t xml:space="preserve"> information channel on SMC</w:t>
      </w:r>
      <w:r w:rsidR="00E866D8">
        <w:rPr>
          <w:rFonts w:ascii="Times New Roman" w:eastAsia="Calibri" w:hAnsi="Times New Roman" w:cs="Times New Roman"/>
          <w:color w:val="000000"/>
        </w:rPr>
        <w:t xml:space="preserve"> by caregivers of targeted children</w:t>
      </w:r>
    </w:p>
    <w:p w14:paraId="361A3044" w14:textId="1048B559" w:rsidR="00A53502" w:rsidRPr="007C5112" w:rsidRDefault="00E866D8" w:rsidP="007C5112">
      <w:pPr>
        <w:numPr>
          <w:ilvl w:val="0"/>
          <w:numId w:val="31"/>
        </w:numPr>
        <w:pBdr>
          <w:top w:val="nil"/>
          <w:left w:val="nil"/>
          <w:bottom w:val="nil"/>
          <w:right w:val="nil"/>
          <w:between w:val="nil"/>
        </w:pBdr>
        <w:contextualSpacing/>
        <w:jc w:val="left"/>
        <w:rPr>
          <w:rFonts w:eastAsia="Calibri"/>
          <w:color w:val="000000"/>
        </w:rPr>
      </w:pPr>
      <w:r>
        <w:rPr>
          <w:rFonts w:eastAsia="Calibri"/>
          <w:color w:val="000000"/>
        </w:rPr>
        <w:t>Assess</w:t>
      </w:r>
      <w:r w:rsidRPr="007C5112">
        <w:rPr>
          <w:rFonts w:eastAsia="Calibri"/>
          <w:color w:val="000000"/>
        </w:rPr>
        <w:t xml:space="preserve"> </w:t>
      </w:r>
      <w:r w:rsidR="00352830" w:rsidRPr="007C5112">
        <w:rPr>
          <w:rFonts w:eastAsia="Calibri"/>
          <w:color w:val="000000"/>
        </w:rPr>
        <w:t xml:space="preserve">the </w:t>
      </w:r>
      <w:r>
        <w:rPr>
          <w:rFonts w:eastAsia="Calibri"/>
          <w:color w:val="000000"/>
        </w:rPr>
        <w:t>adequacy</w:t>
      </w:r>
      <w:r w:rsidRPr="007C5112">
        <w:rPr>
          <w:rFonts w:eastAsia="Calibri"/>
          <w:color w:val="000000"/>
        </w:rPr>
        <w:t xml:space="preserve"> </w:t>
      </w:r>
      <w:r w:rsidR="00352830" w:rsidRPr="007C5112">
        <w:rPr>
          <w:rFonts w:eastAsia="Calibri"/>
          <w:color w:val="000000"/>
        </w:rPr>
        <w:t xml:space="preserve">of information given to mothers/ caregivers </w:t>
      </w:r>
      <w:r>
        <w:rPr>
          <w:rFonts w:eastAsia="Calibri"/>
          <w:color w:val="000000"/>
        </w:rPr>
        <w:t xml:space="preserve">of targeted children </w:t>
      </w:r>
      <w:r w:rsidR="00352830" w:rsidRPr="007C5112">
        <w:rPr>
          <w:rFonts w:eastAsia="Calibri"/>
          <w:color w:val="000000"/>
        </w:rPr>
        <w:t xml:space="preserve">on what to do in </w:t>
      </w:r>
      <w:r>
        <w:rPr>
          <w:rFonts w:eastAsia="Calibri"/>
          <w:color w:val="000000"/>
        </w:rPr>
        <w:t>the event</w:t>
      </w:r>
      <w:r w:rsidRPr="007C5112">
        <w:rPr>
          <w:rFonts w:eastAsia="Calibri"/>
          <w:color w:val="000000"/>
        </w:rPr>
        <w:t xml:space="preserve"> </w:t>
      </w:r>
      <w:r w:rsidR="00352830" w:rsidRPr="007C5112">
        <w:rPr>
          <w:rFonts w:eastAsia="Calibri"/>
          <w:color w:val="000000"/>
        </w:rPr>
        <w:t xml:space="preserve">of </w:t>
      </w:r>
      <w:r>
        <w:rPr>
          <w:rFonts w:eastAsia="Calibri"/>
          <w:color w:val="000000"/>
        </w:rPr>
        <w:t xml:space="preserve">an </w:t>
      </w:r>
      <w:r w:rsidR="00352830" w:rsidRPr="007C5112">
        <w:rPr>
          <w:rFonts w:eastAsia="Calibri"/>
          <w:color w:val="000000"/>
        </w:rPr>
        <w:t>adverse reaction to SMC</w:t>
      </w:r>
      <w:r w:rsidR="00352830" w:rsidRPr="007C5112">
        <w:rPr>
          <w:noProof/>
        </w:rPr>
        <w:drawing>
          <wp:anchor distT="0" distB="0" distL="114300" distR="114300" simplePos="0" relativeHeight="251658240" behindDoc="0" locked="0" layoutInCell="1" allowOverlap="1" wp14:anchorId="291D6A73" wp14:editId="6889803D">
            <wp:simplePos x="0" y="0"/>
            <wp:positionH relativeFrom="column">
              <wp:posOffset>-970279</wp:posOffset>
            </wp:positionH>
            <wp:positionV relativeFrom="paragraph">
              <wp:posOffset>260984</wp:posOffset>
            </wp:positionV>
            <wp:extent cx="18415" cy="1841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8415" cy="18415"/>
                    </a:xfrm>
                    <a:prstGeom prst="rect">
                      <a:avLst/>
                    </a:prstGeom>
                    <a:ln/>
                  </pic:spPr>
                </pic:pic>
              </a:graphicData>
            </a:graphic>
          </wp:anchor>
        </w:drawing>
      </w:r>
      <w:r>
        <w:rPr>
          <w:rFonts w:eastAsia="Calibri"/>
          <w:color w:val="000000"/>
        </w:rPr>
        <w:t xml:space="preserve"> medicine</w:t>
      </w:r>
    </w:p>
    <w:p w14:paraId="25BA5ED2" w14:textId="40136495" w:rsidR="00A53502" w:rsidRDefault="00E866D8" w:rsidP="007C5112">
      <w:pPr>
        <w:numPr>
          <w:ilvl w:val="0"/>
          <w:numId w:val="31"/>
        </w:numPr>
        <w:pBdr>
          <w:top w:val="nil"/>
          <w:left w:val="nil"/>
          <w:bottom w:val="nil"/>
          <w:right w:val="nil"/>
          <w:between w:val="nil"/>
        </w:pBdr>
        <w:spacing w:after="240"/>
        <w:contextualSpacing/>
        <w:jc w:val="left"/>
        <w:rPr>
          <w:rFonts w:eastAsia="Calibri"/>
          <w:color w:val="000000"/>
        </w:rPr>
      </w:pPr>
      <w:r>
        <w:rPr>
          <w:rFonts w:eastAsia="Calibri"/>
          <w:color w:val="000000"/>
        </w:rPr>
        <w:t xml:space="preserve">Ascertain </w:t>
      </w:r>
      <w:r w:rsidR="00352830" w:rsidRPr="007C5112">
        <w:rPr>
          <w:rFonts w:eastAsia="Calibri"/>
          <w:color w:val="000000"/>
        </w:rPr>
        <w:t xml:space="preserve">the proportion of </w:t>
      </w:r>
      <w:r>
        <w:rPr>
          <w:rFonts w:eastAsia="Calibri"/>
          <w:color w:val="000000"/>
        </w:rPr>
        <w:t xml:space="preserve">ineligible </w:t>
      </w:r>
      <w:r w:rsidR="00352830" w:rsidRPr="007C5112">
        <w:rPr>
          <w:rFonts w:eastAsia="Calibri"/>
          <w:color w:val="000000"/>
        </w:rPr>
        <w:t xml:space="preserve">children age 5-10 years </w:t>
      </w:r>
      <w:r>
        <w:rPr>
          <w:rFonts w:eastAsia="Calibri"/>
          <w:color w:val="000000"/>
        </w:rPr>
        <w:t xml:space="preserve"> that were administered SPAQ during the </w:t>
      </w:r>
      <w:r w:rsidR="00352830" w:rsidRPr="007C5112">
        <w:rPr>
          <w:rFonts w:eastAsia="Calibri"/>
          <w:color w:val="000000"/>
        </w:rPr>
        <w:t>SMC</w:t>
      </w:r>
    </w:p>
    <w:p w14:paraId="79D46804" w14:textId="6FBC3091" w:rsidR="007C5112" w:rsidRPr="00AD765D" w:rsidRDefault="00E866D8" w:rsidP="007C5112">
      <w:pPr>
        <w:numPr>
          <w:ilvl w:val="0"/>
          <w:numId w:val="31"/>
        </w:numPr>
        <w:pBdr>
          <w:top w:val="nil"/>
          <w:left w:val="nil"/>
          <w:bottom w:val="nil"/>
          <w:right w:val="nil"/>
          <w:between w:val="nil"/>
        </w:pBdr>
        <w:spacing w:after="240"/>
        <w:contextualSpacing/>
        <w:jc w:val="left"/>
        <w:rPr>
          <w:rFonts w:eastAsia="Calibri"/>
          <w:color w:val="000000"/>
        </w:rPr>
      </w:pPr>
      <w:r>
        <w:rPr>
          <w:rFonts w:eastAsia="Arial"/>
          <w:color w:val="000000"/>
        </w:rPr>
        <w:t>Explore the</w:t>
      </w:r>
      <w:r w:rsidRPr="00530D0E">
        <w:rPr>
          <w:rFonts w:eastAsia="Arial"/>
          <w:color w:val="000000"/>
        </w:rPr>
        <w:t xml:space="preserve"> </w:t>
      </w:r>
      <w:r w:rsidR="007C5112" w:rsidRPr="00530D0E">
        <w:rPr>
          <w:rFonts w:eastAsia="Arial"/>
          <w:color w:val="000000"/>
        </w:rPr>
        <w:t xml:space="preserve">ideational factors </w:t>
      </w:r>
      <w:r w:rsidR="002D74A2" w:rsidRPr="00530D0E">
        <w:rPr>
          <w:rFonts w:eastAsia="Arial"/>
          <w:color w:val="000000"/>
        </w:rPr>
        <w:t xml:space="preserve">such as perceptions and attitudes </w:t>
      </w:r>
      <w:r w:rsidR="002D74A2">
        <w:rPr>
          <w:rFonts w:eastAsia="Arial"/>
          <w:color w:val="000000"/>
        </w:rPr>
        <w:t xml:space="preserve">that are </w:t>
      </w:r>
      <w:r w:rsidR="007C5112" w:rsidRPr="00530D0E">
        <w:rPr>
          <w:rFonts w:eastAsia="Arial"/>
          <w:color w:val="000000"/>
        </w:rPr>
        <w:t xml:space="preserve">related to SMC </w:t>
      </w:r>
      <w:r w:rsidR="004E31D8">
        <w:rPr>
          <w:rFonts w:eastAsia="Arial"/>
          <w:color w:val="000000"/>
        </w:rPr>
        <w:t>such as</w:t>
      </w:r>
      <w:r w:rsidR="007C5112" w:rsidRPr="00530D0E">
        <w:rPr>
          <w:rFonts w:eastAsia="Arial"/>
          <w:color w:val="000000"/>
        </w:rPr>
        <w:t xml:space="preserve"> caregivers believe </w:t>
      </w:r>
      <w:r w:rsidR="002D74A2">
        <w:rPr>
          <w:rFonts w:eastAsia="Arial"/>
          <w:color w:val="000000"/>
        </w:rPr>
        <w:t xml:space="preserve">that </w:t>
      </w:r>
      <w:r w:rsidR="007C5112" w:rsidRPr="00530D0E">
        <w:rPr>
          <w:rFonts w:eastAsia="Arial"/>
          <w:color w:val="000000"/>
        </w:rPr>
        <w:t>SPAQ prevents malaria</w:t>
      </w:r>
      <w:r w:rsidR="00530D0E">
        <w:rPr>
          <w:rFonts w:eastAsia="Arial"/>
          <w:color w:val="000000"/>
        </w:rPr>
        <w:t>,</w:t>
      </w:r>
      <w:r w:rsidR="002D74A2">
        <w:rPr>
          <w:rFonts w:eastAsia="Arial"/>
          <w:color w:val="000000"/>
        </w:rPr>
        <w:t xml:space="preserve"> </w:t>
      </w:r>
      <w:r w:rsidR="007C5112" w:rsidRPr="00530D0E">
        <w:rPr>
          <w:rFonts w:eastAsia="Arial"/>
          <w:color w:val="000000"/>
        </w:rPr>
        <w:t xml:space="preserve">and </w:t>
      </w:r>
      <w:r w:rsidR="002D74A2">
        <w:rPr>
          <w:rFonts w:eastAsia="Arial"/>
          <w:color w:val="000000"/>
        </w:rPr>
        <w:t xml:space="preserve">perceived </w:t>
      </w:r>
      <w:r w:rsidR="007C5112" w:rsidRPr="00530D0E">
        <w:rPr>
          <w:rFonts w:eastAsia="Arial"/>
          <w:color w:val="000000"/>
        </w:rPr>
        <w:t>self-efficacy</w:t>
      </w:r>
      <w:r w:rsidR="00530D0E">
        <w:rPr>
          <w:rFonts w:eastAsia="Arial"/>
          <w:color w:val="000000"/>
        </w:rPr>
        <w:t xml:space="preserve"> to administer SMC.</w:t>
      </w:r>
    </w:p>
    <w:p w14:paraId="424CD158" w14:textId="77777777" w:rsidR="00AD765D" w:rsidRPr="00F53B4A" w:rsidRDefault="00AD765D" w:rsidP="00AD765D">
      <w:pPr>
        <w:pStyle w:val="Heading1"/>
      </w:pPr>
      <w:bookmarkStart w:id="9" w:name="_Toc53960781"/>
      <w:r w:rsidRPr="00F53B4A">
        <w:t xml:space="preserve">KEY SMC SURVEY </w:t>
      </w:r>
      <w:bookmarkEnd w:id="9"/>
      <w:r>
        <w:t>VARIABLES</w:t>
      </w:r>
    </w:p>
    <w:p w14:paraId="1807F9A8" w14:textId="77777777" w:rsidR="00AD765D" w:rsidRPr="00F53B4A" w:rsidRDefault="00AD765D" w:rsidP="00AD765D">
      <w:pPr>
        <w:spacing w:after="240"/>
        <w:rPr>
          <w:rFonts w:eastAsia="Calibri"/>
        </w:rPr>
      </w:pPr>
      <w:r w:rsidRPr="00F53B4A">
        <w:rPr>
          <w:rFonts w:eastAsia="Calibri"/>
        </w:rPr>
        <w:t xml:space="preserve">The survey questionnaire will provide information on the following key </w:t>
      </w:r>
      <w:r>
        <w:rPr>
          <w:rFonts w:eastAsia="Calibri"/>
        </w:rPr>
        <w:t>varibles</w:t>
      </w:r>
      <w:r w:rsidRPr="00F53B4A">
        <w:rPr>
          <w:rFonts w:eastAsia="Calibri"/>
        </w:rPr>
        <w:t xml:space="preserve">: </w:t>
      </w:r>
    </w:p>
    <w:p w14:paraId="05016FF6" w14:textId="77777777" w:rsidR="00AD765D" w:rsidRPr="00191EDC" w:rsidRDefault="00AD765D" w:rsidP="00AD765D">
      <w:pPr>
        <w:numPr>
          <w:ilvl w:val="0"/>
          <w:numId w:val="15"/>
        </w:numPr>
        <w:pBdr>
          <w:top w:val="nil"/>
          <w:left w:val="nil"/>
          <w:bottom w:val="nil"/>
          <w:right w:val="nil"/>
          <w:between w:val="nil"/>
        </w:pBdr>
        <w:rPr>
          <w:color w:val="000000"/>
        </w:rPr>
      </w:pPr>
      <w:r w:rsidRPr="00F53B4A">
        <w:rPr>
          <w:rFonts w:eastAsia="Calibri"/>
          <w:b/>
          <w:color w:val="000000"/>
        </w:rPr>
        <w:t>SMC survey coverage</w:t>
      </w:r>
      <w:r w:rsidRPr="00F53B4A">
        <w:rPr>
          <w:rFonts w:eastAsia="Calibri"/>
          <w:color w:val="000000"/>
        </w:rPr>
        <w:t xml:space="preserve">: Proportion of eligible children treated with SMC among the total </w:t>
      </w:r>
      <w:r>
        <w:rPr>
          <w:rFonts w:eastAsia="Calibri"/>
          <w:color w:val="000000"/>
        </w:rPr>
        <w:t xml:space="preserve">eligible children </w:t>
      </w:r>
      <w:r w:rsidRPr="00F53B4A">
        <w:rPr>
          <w:rFonts w:eastAsia="Calibri"/>
          <w:color w:val="000000"/>
        </w:rPr>
        <w:t>sampled for the surve</w:t>
      </w:r>
      <w:r w:rsidRPr="00F53B4A">
        <w:rPr>
          <w:rFonts w:eastAsia="Calibri"/>
        </w:rPr>
        <w:t>y</w:t>
      </w:r>
    </w:p>
    <w:p w14:paraId="2330E040" w14:textId="77777777" w:rsidR="00AD765D" w:rsidRPr="00F53B4A" w:rsidRDefault="00AD765D" w:rsidP="00AD765D">
      <w:pPr>
        <w:numPr>
          <w:ilvl w:val="0"/>
          <w:numId w:val="15"/>
        </w:numPr>
        <w:pBdr>
          <w:top w:val="nil"/>
          <w:left w:val="nil"/>
          <w:bottom w:val="nil"/>
          <w:right w:val="nil"/>
          <w:between w:val="nil"/>
        </w:pBdr>
        <w:rPr>
          <w:color w:val="000000"/>
        </w:rPr>
      </w:pPr>
      <w:r>
        <w:rPr>
          <w:rFonts w:eastAsia="Calibri"/>
          <w:b/>
          <w:color w:val="000000"/>
        </w:rPr>
        <w:t>SMC over age treatment</w:t>
      </w:r>
      <w:r w:rsidRPr="00191EDC">
        <w:rPr>
          <w:color w:val="000000"/>
        </w:rPr>
        <w:t>:</w:t>
      </w:r>
      <w:r>
        <w:rPr>
          <w:color w:val="000000"/>
        </w:rPr>
        <w:t xml:space="preserve"> </w:t>
      </w:r>
      <w:r>
        <w:rPr>
          <w:rFonts w:eastAsia="Calibri"/>
          <w:color w:val="000000"/>
        </w:rPr>
        <w:t>P</w:t>
      </w:r>
      <w:r w:rsidRPr="007C5112">
        <w:rPr>
          <w:rFonts w:eastAsia="Calibri"/>
          <w:color w:val="000000"/>
        </w:rPr>
        <w:t xml:space="preserve">roportion of </w:t>
      </w:r>
      <w:r>
        <w:rPr>
          <w:rFonts w:eastAsia="Calibri"/>
          <w:color w:val="000000"/>
        </w:rPr>
        <w:t xml:space="preserve">ineligible </w:t>
      </w:r>
      <w:r w:rsidRPr="007C5112">
        <w:rPr>
          <w:rFonts w:eastAsia="Calibri"/>
          <w:color w:val="000000"/>
        </w:rPr>
        <w:t xml:space="preserve">children age 5-10 years </w:t>
      </w:r>
      <w:r>
        <w:rPr>
          <w:rFonts w:eastAsia="Calibri"/>
          <w:color w:val="000000"/>
        </w:rPr>
        <w:t xml:space="preserve"> that were administered SPAQ during  </w:t>
      </w:r>
      <w:r w:rsidRPr="007C5112">
        <w:rPr>
          <w:rFonts w:eastAsia="Calibri"/>
          <w:color w:val="000000"/>
        </w:rPr>
        <w:t>SMC</w:t>
      </w:r>
    </w:p>
    <w:p w14:paraId="2517AD5A" w14:textId="77777777" w:rsidR="00AD765D" w:rsidRPr="00F53B4A" w:rsidRDefault="00AD765D" w:rsidP="00AD765D">
      <w:pPr>
        <w:numPr>
          <w:ilvl w:val="0"/>
          <w:numId w:val="15"/>
        </w:numPr>
        <w:pBdr>
          <w:top w:val="nil"/>
          <w:left w:val="nil"/>
          <w:bottom w:val="nil"/>
          <w:right w:val="nil"/>
          <w:between w:val="nil"/>
        </w:pBdr>
        <w:rPr>
          <w:color w:val="000000"/>
        </w:rPr>
      </w:pPr>
      <w:r w:rsidRPr="00F53B4A">
        <w:rPr>
          <w:rFonts w:eastAsia="Calibri"/>
          <w:b/>
          <w:color w:val="000000"/>
        </w:rPr>
        <w:t>Blister retention</w:t>
      </w:r>
      <w:r w:rsidRPr="00F53B4A">
        <w:rPr>
          <w:rFonts w:eastAsia="Calibri"/>
          <w:color w:val="000000"/>
        </w:rPr>
        <w:t xml:space="preserve">: Proportion of households </w:t>
      </w:r>
      <w:r>
        <w:rPr>
          <w:rFonts w:eastAsia="Calibri"/>
          <w:color w:val="000000"/>
        </w:rPr>
        <w:t xml:space="preserve">with </w:t>
      </w:r>
      <w:r w:rsidRPr="00F53B4A">
        <w:rPr>
          <w:rFonts w:eastAsia="Calibri"/>
          <w:color w:val="000000"/>
        </w:rPr>
        <w:t xml:space="preserve"> blister retained among eligible households</w:t>
      </w:r>
    </w:p>
    <w:p w14:paraId="18620EB8" w14:textId="77777777" w:rsidR="00AD765D" w:rsidRPr="00F53B4A" w:rsidRDefault="00AD765D" w:rsidP="00AD765D">
      <w:pPr>
        <w:numPr>
          <w:ilvl w:val="0"/>
          <w:numId w:val="15"/>
        </w:numPr>
        <w:pBdr>
          <w:top w:val="nil"/>
          <w:left w:val="nil"/>
          <w:bottom w:val="nil"/>
          <w:right w:val="nil"/>
          <w:between w:val="nil"/>
        </w:pBdr>
        <w:rPr>
          <w:color w:val="000000"/>
        </w:rPr>
      </w:pPr>
      <w:r w:rsidRPr="00F53B4A">
        <w:rPr>
          <w:rFonts w:eastAsia="Calibri"/>
          <w:b/>
          <w:color w:val="000000"/>
        </w:rPr>
        <w:lastRenderedPageBreak/>
        <w:t>Children treated with SP+AQ  on Day 1 of cycle and supervised (DOT):</w:t>
      </w:r>
      <w:r w:rsidRPr="00F53B4A">
        <w:rPr>
          <w:rFonts w:eastAsia="Calibri"/>
          <w:color w:val="000000"/>
        </w:rPr>
        <w:t xml:space="preserve"> Proportion of treated eligible children for whom delivery was supervised among total treated eligible children</w:t>
      </w:r>
    </w:p>
    <w:p w14:paraId="04DB6517" w14:textId="77777777" w:rsidR="00AD765D" w:rsidRPr="00F53B4A" w:rsidRDefault="00AD765D" w:rsidP="00AD765D">
      <w:pPr>
        <w:numPr>
          <w:ilvl w:val="0"/>
          <w:numId w:val="15"/>
        </w:numPr>
        <w:pBdr>
          <w:top w:val="nil"/>
          <w:left w:val="nil"/>
          <w:bottom w:val="nil"/>
          <w:right w:val="nil"/>
          <w:between w:val="nil"/>
        </w:pBdr>
        <w:rPr>
          <w:color w:val="000000"/>
        </w:rPr>
      </w:pPr>
      <w:r w:rsidRPr="00F53B4A">
        <w:rPr>
          <w:rFonts w:eastAsia="Calibri"/>
          <w:b/>
          <w:color w:val="000000"/>
        </w:rPr>
        <w:t>Card retention</w:t>
      </w:r>
      <w:r w:rsidRPr="00F53B4A">
        <w:rPr>
          <w:rFonts w:eastAsia="Calibri"/>
          <w:color w:val="000000"/>
        </w:rPr>
        <w:t xml:space="preserve">: Proportion of households where child card </w:t>
      </w:r>
      <w:r>
        <w:rPr>
          <w:rFonts w:eastAsia="Calibri"/>
          <w:color w:val="000000"/>
        </w:rPr>
        <w:t xml:space="preserve">is </w:t>
      </w:r>
      <w:r w:rsidRPr="00F53B4A">
        <w:rPr>
          <w:rFonts w:eastAsia="Calibri"/>
          <w:color w:val="000000"/>
        </w:rPr>
        <w:t>retained among all eligible households sampled</w:t>
      </w:r>
    </w:p>
    <w:p w14:paraId="6FC1D854" w14:textId="77777777" w:rsidR="00AD765D" w:rsidRPr="00F53B4A" w:rsidRDefault="00AD765D" w:rsidP="00AD765D">
      <w:pPr>
        <w:numPr>
          <w:ilvl w:val="0"/>
          <w:numId w:val="15"/>
        </w:numPr>
        <w:pBdr>
          <w:top w:val="nil"/>
          <w:left w:val="nil"/>
          <w:bottom w:val="nil"/>
          <w:right w:val="nil"/>
          <w:between w:val="nil"/>
        </w:pBdr>
        <w:rPr>
          <w:b/>
          <w:color w:val="000000"/>
        </w:rPr>
      </w:pPr>
      <w:r w:rsidRPr="00F53B4A">
        <w:rPr>
          <w:rFonts w:eastAsia="Calibri"/>
          <w:b/>
          <w:color w:val="000000"/>
        </w:rPr>
        <w:t>Home doses ticked on card (</w:t>
      </w:r>
      <w:r w:rsidRPr="00F53B4A">
        <w:rPr>
          <w:rFonts w:eastAsia="Calibri"/>
          <w:color w:val="000000"/>
        </w:rPr>
        <w:t>0, 1, 2, and 3, including day 1 dose):  Proportion of households where at least one SMC dose is ticked on card among households where card is retained.</w:t>
      </w:r>
    </w:p>
    <w:p w14:paraId="7A94F876" w14:textId="77777777" w:rsidR="00AD765D" w:rsidRPr="00F53B4A" w:rsidRDefault="00AD765D" w:rsidP="00AD765D">
      <w:pPr>
        <w:numPr>
          <w:ilvl w:val="0"/>
          <w:numId w:val="15"/>
        </w:numPr>
        <w:pBdr>
          <w:top w:val="nil"/>
          <w:left w:val="nil"/>
          <w:bottom w:val="nil"/>
          <w:right w:val="nil"/>
          <w:between w:val="nil"/>
        </w:pBdr>
        <w:rPr>
          <w:b/>
          <w:color w:val="000000"/>
        </w:rPr>
      </w:pPr>
      <w:r w:rsidRPr="00F53B4A">
        <w:rPr>
          <w:rFonts w:eastAsia="Calibri"/>
          <w:b/>
          <w:color w:val="000000"/>
        </w:rPr>
        <w:t xml:space="preserve">SMC coverage by doses </w:t>
      </w:r>
      <w:r w:rsidRPr="00F53B4A">
        <w:rPr>
          <w:rFonts w:eastAsia="Calibri"/>
          <w:color w:val="000000"/>
        </w:rPr>
        <w:t xml:space="preserve">(0, 1, 2, and 3, including day 1 dose): Proportion of eligible children covered </w:t>
      </w:r>
      <w:r>
        <w:rPr>
          <w:rFonts w:eastAsia="Calibri"/>
          <w:color w:val="000000"/>
        </w:rPr>
        <w:t xml:space="preserve">by the 3 doses of  SP+AQ </w:t>
      </w:r>
      <w:r w:rsidRPr="00F53B4A">
        <w:rPr>
          <w:rFonts w:eastAsia="Calibri"/>
          <w:color w:val="000000"/>
        </w:rPr>
        <w:t>(by number of doses) among total eligible children sampled</w:t>
      </w:r>
    </w:p>
    <w:p w14:paraId="400CC113" w14:textId="77777777" w:rsidR="00AD765D" w:rsidRPr="00F53B4A" w:rsidRDefault="00AD765D" w:rsidP="00AD765D">
      <w:pPr>
        <w:numPr>
          <w:ilvl w:val="0"/>
          <w:numId w:val="15"/>
        </w:numPr>
        <w:pBdr>
          <w:top w:val="nil"/>
          <w:left w:val="nil"/>
          <w:bottom w:val="nil"/>
          <w:right w:val="nil"/>
          <w:between w:val="nil"/>
        </w:pBdr>
        <w:rPr>
          <w:b/>
          <w:color w:val="000000"/>
        </w:rPr>
      </w:pPr>
      <w:r w:rsidRPr="00F53B4A">
        <w:rPr>
          <w:rFonts w:eastAsia="Calibri"/>
          <w:color w:val="000000"/>
        </w:rPr>
        <w:t xml:space="preserve">SMC coverage by cycles (Cycle 1, 2, 3 and 4): Percentage coverage of eligible children who received full course of SMC for at least 3 cycles among eligible children sampled </w:t>
      </w:r>
    </w:p>
    <w:p w14:paraId="4457D9A2" w14:textId="77777777" w:rsidR="00AD765D" w:rsidRPr="00F53B4A" w:rsidRDefault="00AD765D" w:rsidP="00AD765D">
      <w:pPr>
        <w:numPr>
          <w:ilvl w:val="0"/>
          <w:numId w:val="15"/>
        </w:numPr>
        <w:pBdr>
          <w:top w:val="nil"/>
          <w:left w:val="nil"/>
          <w:bottom w:val="nil"/>
          <w:right w:val="nil"/>
          <w:between w:val="nil"/>
        </w:pBdr>
        <w:rPr>
          <w:color w:val="000000"/>
        </w:rPr>
      </w:pPr>
      <w:r w:rsidRPr="00F53B4A">
        <w:rPr>
          <w:rFonts w:eastAsia="Calibri"/>
          <w:b/>
          <w:color w:val="000000"/>
        </w:rPr>
        <w:t>Coverage of children aged 5–10 years</w:t>
      </w:r>
      <w:r w:rsidRPr="00F53B4A">
        <w:rPr>
          <w:rFonts w:eastAsia="Calibri"/>
          <w:color w:val="000000"/>
        </w:rPr>
        <w:t xml:space="preserve">: Children over 5 years covered among children over 5 years sampled </w:t>
      </w:r>
    </w:p>
    <w:p w14:paraId="7944EC9F" w14:textId="77777777" w:rsidR="00AD765D" w:rsidRPr="00F53B4A" w:rsidRDefault="00AD765D" w:rsidP="00AD765D">
      <w:pPr>
        <w:numPr>
          <w:ilvl w:val="0"/>
          <w:numId w:val="15"/>
        </w:numPr>
        <w:pBdr>
          <w:top w:val="nil"/>
          <w:left w:val="nil"/>
          <w:bottom w:val="nil"/>
          <w:right w:val="nil"/>
          <w:between w:val="nil"/>
        </w:pBdr>
        <w:rPr>
          <w:color w:val="000000"/>
        </w:rPr>
      </w:pPr>
      <w:r w:rsidRPr="00F53B4A">
        <w:rPr>
          <w:rFonts w:eastAsia="Calibri"/>
          <w:b/>
          <w:color w:val="000000"/>
        </w:rPr>
        <w:t xml:space="preserve">SMC refusal rate: </w:t>
      </w:r>
      <w:r w:rsidRPr="00F53B4A">
        <w:rPr>
          <w:rFonts w:eastAsia="Calibri"/>
          <w:color w:val="000000"/>
        </w:rPr>
        <w:t>Proportion of households refusing SMC among eligible households visited by community distributor</w:t>
      </w:r>
    </w:p>
    <w:p w14:paraId="6436889F" w14:textId="77777777" w:rsidR="00AD765D" w:rsidRPr="00F53B4A" w:rsidRDefault="00AD765D" w:rsidP="00AD765D">
      <w:pPr>
        <w:numPr>
          <w:ilvl w:val="0"/>
          <w:numId w:val="15"/>
        </w:numPr>
        <w:pBdr>
          <w:top w:val="nil"/>
          <w:left w:val="nil"/>
          <w:bottom w:val="nil"/>
          <w:right w:val="nil"/>
          <w:between w:val="nil"/>
        </w:pBdr>
        <w:rPr>
          <w:color w:val="000000"/>
        </w:rPr>
      </w:pPr>
      <w:r w:rsidRPr="00F53B4A">
        <w:rPr>
          <w:rFonts w:eastAsia="Calibri"/>
          <w:b/>
          <w:color w:val="000000"/>
        </w:rPr>
        <w:t>SMC awareness:</w:t>
      </w:r>
      <w:r w:rsidRPr="00F53B4A">
        <w:rPr>
          <w:rFonts w:eastAsia="Calibri"/>
          <w:color w:val="000000"/>
        </w:rPr>
        <w:t xml:space="preserve"> Number of caregivers reporting awareness of SMC among eligible households visited by community </w:t>
      </w:r>
      <w:r>
        <w:rPr>
          <w:rFonts w:eastAsia="Calibri"/>
          <w:color w:val="000000"/>
        </w:rPr>
        <w:t xml:space="preserve">drug </w:t>
      </w:r>
      <w:r w:rsidRPr="00F53B4A">
        <w:rPr>
          <w:rFonts w:eastAsia="Calibri"/>
          <w:color w:val="000000"/>
        </w:rPr>
        <w:t xml:space="preserve">distributor </w:t>
      </w:r>
    </w:p>
    <w:p w14:paraId="1B241527" w14:textId="77777777" w:rsidR="00AD765D" w:rsidRPr="00F53B4A" w:rsidRDefault="00AD765D" w:rsidP="00AD765D">
      <w:pPr>
        <w:numPr>
          <w:ilvl w:val="0"/>
          <w:numId w:val="15"/>
        </w:numPr>
        <w:pBdr>
          <w:top w:val="nil"/>
          <w:left w:val="nil"/>
          <w:bottom w:val="nil"/>
          <w:right w:val="nil"/>
          <w:between w:val="nil"/>
        </w:pBdr>
        <w:rPr>
          <w:color w:val="000000"/>
        </w:rPr>
      </w:pPr>
      <w:r w:rsidRPr="00F53B4A">
        <w:rPr>
          <w:rFonts w:eastAsia="Calibri"/>
          <w:b/>
          <w:color w:val="000000"/>
        </w:rPr>
        <w:t>Knowledge about SMC purpose</w:t>
      </w:r>
      <w:r w:rsidRPr="00F53B4A">
        <w:rPr>
          <w:rFonts w:eastAsia="Calibri"/>
          <w:color w:val="000000"/>
        </w:rPr>
        <w:t>: Proportion of caregivers responding correctly to question on purpose of SMC among eligible households visited by community distributor</w:t>
      </w:r>
    </w:p>
    <w:p w14:paraId="524C4764" w14:textId="77777777" w:rsidR="00AD765D" w:rsidRPr="00F53B4A" w:rsidRDefault="00AD765D" w:rsidP="00AD765D">
      <w:pPr>
        <w:numPr>
          <w:ilvl w:val="0"/>
          <w:numId w:val="15"/>
        </w:numPr>
        <w:pBdr>
          <w:top w:val="nil"/>
          <w:left w:val="nil"/>
          <w:bottom w:val="nil"/>
          <w:right w:val="nil"/>
          <w:between w:val="nil"/>
        </w:pBdr>
        <w:rPr>
          <w:color w:val="000000"/>
        </w:rPr>
      </w:pPr>
      <w:r w:rsidRPr="00F53B4A">
        <w:rPr>
          <w:rFonts w:eastAsia="Calibri"/>
          <w:b/>
          <w:color w:val="000000"/>
        </w:rPr>
        <w:t xml:space="preserve">Knowledge about number of SMC doses to be given: </w:t>
      </w:r>
      <w:r w:rsidRPr="00F53B4A">
        <w:rPr>
          <w:rFonts w:eastAsia="Calibri"/>
          <w:color w:val="000000"/>
        </w:rPr>
        <w:t>Proportion of caregivers responding correctly to question on number of recommended SMC doses among eligible households visited by community distributor</w:t>
      </w:r>
    </w:p>
    <w:p w14:paraId="535BB971" w14:textId="77777777" w:rsidR="00AD765D" w:rsidRPr="00F53B4A" w:rsidRDefault="00AD765D" w:rsidP="00AD765D">
      <w:pPr>
        <w:numPr>
          <w:ilvl w:val="0"/>
          <w:numId w:val="15"/>
        </w:numPr>
        <w:pBdr>
          <w:top w:val="nil"/>
          <w:left w:val="nil"/>
          <w:bottom w:val="nil"/>
          <w:right w:val="nil"/>
          <w:between w:val="nil"/>
        </w:pBdr>
        <w:rPr>
          <w:color w:val="000000"/>
        </w:rPr>
      </w:pPr>
      <w:r w:rsidRPr="00F53B4A">
        <w:rPr>
          <w:rFonts w:eastAsia="Calibri"/>
          <w:b/>
          <w:color w:val="000000"/>
        </w:rPr>
        <w:t xml:space="preserve"> Knowledge about age eligibility for SMC</w:t>
      </w:r>
      <w:r w:rsidRPr="00F53B4A">
        <w:rPr>
          <w:rFonts w:eastAsia="Calibri"/>
          <w:color w:val="000000"/>
        </w:rPr>
        <w:t>: Proportion of caregivers responding correctly to questions related to age eligibility among eligible households visited by community distributor</w:t>
      </w:r>
    </w:p>
    <w:p w14:paraId="00E61665" w14:textId="77777777" w:rsidR="00AD765D" w:rsidRPr="00F53B4A" w:rsidRDefault="00AD765D" w:rsidP="00AD765D">
      <w:pPr>
        <w:numPr>
          <w:ilvl w:val="0"/>
          <w:numId w:val="15"/>
        </w:numPr>
        <w:pBdr>
          <w:top w:val="nil"/>
          <w:left w:val="nil"/>
          <w:bottom w:val="nil"/>
          <w:right w:val="nil"/>
          <w:between w:val="nil"/>
        </w:pBdr>
        <w:rPr>
          <w:color w:val="000000"/>
        </w:rPr>
      </w:pPr>
      <w:r w:rsidRPr="00F53B4A">
        <w:rPr>
          <w:rFonts w:eastAsia="Calibri"/>
          <w:b/>
          <w:color w:val="000000"/>
        </w:rPr>
        <w:t>Knowledge about timing of SMC administration</w:t>
      </w:r>
      <w:r w:rsidRPr="00F53B4A">
        <w:rPr>
          <w:rFonts w:eastAsia="Calibri"/>
          <w:color w:val="000000"/>
        </w:rPr>
        <w:t>: Proportion of caregivers responding correctly to questions related to days SMC doses are given among eligible households visited by community distributor</w:t>
      </w:r>
    </w:p>
    <w:p w14:paraId="15F5DB37" w14:textId="77777777" w:rsidR="00AD765D" w:rsidRPr="00191EDC" w:rsidRDefault="00AD765D" w:rsidP="00AD765D">
      <w:pPr>
        <w:numPr>
          <w:ilvl w:val="0"/>
          <w:numId w:val="15"/>
        </w:numPr>
        <w:pBdr>
          <w:top w:val="nil"/>
          <w:left w:val="nil"/>
          <w:bottom w:val="nil"/>
          <w:right w:val="nil"/>
          <w:between w:val="nil"/>
        </w:pBdr>
        <w:rPr>
          <w:color w:val="000000"/>
        </w:rPr>
      </w:pPr>
      <w:r w:rsidRPr="00F53B4A">
        <w:rPr>
          <w:rFonts w:eastAsia="Calibri"/>
          <w:b/>
          <w:color w:val="000000"/>
        </w:rPr>
        <w:lastRenderedPageBreak/>
        <w:t>Knowledge of SMC adverse event:</w:t>
      </w:r>
      <w:r w:rsidRPr="00F53B4A">
        <w:rPr>
          <w:rFonts w:eastAsia="Calibri"/>
          <w:color w:val="000000"/>
        </w:rPr>
        <w:t xml:space="preserve"> Proportion of caregivers who know what to do in case of SMC-related adverse event among eligible households visited by community drug distributor</w:t>
      </w:r>
    </w:p>
    <w:p w14:paraId="13E77B24" w14:textId="77777777" w:rsidR="00AD765D" w:rsidRPr="009968D5" w:rsidRDefault="00AD765D" w:rsidP="00AD765D">
      <w:pPr>
        <w:numPr>
          <w:ilvl w:val="0"/>
          <w:numId w:val="24"/>
        </w:numPr>
        <w:jc w:val="left"/>
        <w:rPr>
          <w:rFonts w:eastAsia="Calibri"/>
        </w:rPr>
      </w:pPr>
      <w:r>
        <w:rPr>
          <w:rFonts w:eastAsia="Calibri"/>
          <w:b/>
          <w:color w:val="000000"/>
        </w:rPr>
        <w:t>Awareness of SMC:</w:t>
      </w:r>
      <w:r>
        <w:rPr>
          <w:color w:val="000000"/>
        </w:rPr>
        <w:t xml:space="preserve"> Proportion of </w:t>
      </w:r>
      <w:r>
        <w:rPr>
          <w:rFonts w:eastAsia="Calibri"/>
          <w:color w:val="000000"/>
        </w:rPr>
        <w:t>c</w:t>
      </w:r>
      <w:r w:rsidRPr="00F53B4A">
        <w:rPr>
          <w:rFonts w:eastAsia="Calibri"/>
          <w:color w:val="000000"/>
        </w:rPr>
        <w:t>aregiver</w:t>
      </w:r>
      <w:r>
        <w:rPr>
          <w:rFonts w:eastAsia="Calibri"/>
          <w:color w:val="000000"/>
        </w:rPr>
        <w:t xml:space="preserve">s  who </w:t>
      </w:r>
      <w:r w:rsidRPr="00F53B4A">
        <w:rPr>
          <w:rFonts w:eastAsia="Calibri"/>
          <w:color w:val="000000"/>
        </w:rPr>
        <w:t>heard town announcements about SMC within last month</w:t>
      </w:r>
      <w:r>
        <w:rPr>
          <w:rFonts w:eastAsia="Calibri"/>
          <w:color w:val="000000"/>
        </w:rPr>
        <w:t xml:space="preserve"> </w:t>
      </w:r>
      <w:r w:rsidRPr="00F53B4A">
        <w:rPr>
          <w:rFonts w:eastAsia="Calibri"/>
          <w:color w:val="000000"/>
        </w:rPr>
        <w:t xml:space="preserve">among </w:t>
      </w:r>
      <w:r>
        <w:rPr>
          <w:rFonts w:eastAsia="Calibri"/>
          <w:color w:val="000000"/>
        </w:rPr>
        <w:t xml:space="preserve">household with </w:t>
      </w:r>
      <w:r w:rsidRPr="00F53B4A">
        <w:rPr>
          <w:rFonts w:eastAsia="Calibri"/>
          <w:color w:val="000000"/>
        </w:rPr>
        <w:t>eligible children sampled</w:t>
      </w:r>
    </w:p>
    <w:p w14:paraId="326BCEDC" w14:textId="77777777" w:rsidR="00AD765D" w:rsidRPr="00191EDC" w:rsidRDefault="00AD765D" w:rsidP="00AD765D">
      <w:pPr>
        <w:numPr>
          <w:ilvl w:val="0"/>
          <w:numId w:val="24"/>
        </w:numPr>
        <w:jc w:val="left"/>
        <w:rPr>
          <w:color w:val="000000"/>
        </w:rPr>
      </w:pPr>
      <w:r>
        <w:rPr>
          <w:rFonts w:eastAsia="Calibri"/>
          <w:b/>
          <w:color w:val="000000"/>
        </w:rPr>
        <w:t>Awareness of SMC:</w:t>
      </w:r>
      <w:r>
        <w:rPr>
          <w:color w:val="000000"/>
        </w:rPr>
        <w:t xml:space="preserve"> Proportion of </w:t>
      </w:r>
      <w:r>
        <w:rPr>
          <w:rFonts w:eastAsia="Calibri"/>
          <w:color w:val="000000"/>
        </w:rPr>
        <w:t>c</w:t>
      </w:r>
      <w:r w:rsidRPr="00F53B4A">
        <w:rPr>
          <w:rFonts w:eastAsia="Calibri"/>
          <w:color w:val="000000"/>
        </w:rPr>
        <w:t>aregiver</w:t>
      </w:r>
      <w:r>
        <w:rPr>
          <w:rFonts w:eastAsia="Calibri"/>
          <w:color w:val="000000"/>
        </w:rPr>
        <w:t xml:space="preserve">s  who </w:t>
      </w:r>
      <w:r w:rsidRPr="00F53B4A">
        <w:rPr>
          <w:rFonts w:eastAsia="Calibri"/>
          <w:color w:val="000000"/>
        </w:rPr>
        <w:t xml:space="preserve">heard announcements about SMC </w:t>
      </w:r>
      <w:r>
        <w:rPr>
          <w:rFonts w:eastAsia="Calibri"/>
          <w:color w:val="000000"/>
        </w:rPr>
        <w:t xml:space="preserve"> through mass media </w:t>
      </w:r>
      <w:r w:rsidRPr="00F53B4A">
        <w:rPr>
          <w:rFonts w:eastAsia="Calibri"/>
          <w:color w:val="000000"/>
        </w:rPr>
        <w:t xml:space="preserve">within </w:t>
      </w:r>
      <w:r>
        <w:rPr>
          <w:rFonts w:eastAsia="Calibri"/>
          <w:color w:val="000000"/>
        </w:rPr>
        <w:t xml:space="preserve">the </w:t>
      </w:r>
      <w:r w:rsidRPr="00F53B4A">
        <w:rPr>
          <w:rFonts w:eastAsia="Calibri"/>
          <w:color w:val="000000"/>
        </w:rPr>
        <w:t>last month</w:t>
      </w:r>
      <w:r>
        <w:rPr>
          <w:rFonts w:eastAsia="Calibri"/>
          <w:color w:val="000000"/>
        </w:rPr>
        <w:t xml:space="preserve"> </w:t>
      </w:r>
      <w:r w:rsidRPr="00F53B4A">
        <w:rPr>
          <w:rFonts w:eastAsia="Calibri"/>
          <w:color w:val="000000"/>
        </w:rPr>
        <w:t xml:space="preserve">among </w:t>
      </w:r>
      <w:r>
        <w:rPr>
          <w:rFonts w:eastAsia="Calibri"/>
          <w:color w:val="000000"/>
        </w:rPr>
        <w:t xml:space="preserve">household with </w:t>
      </w:r>
      <w:r w:rsidRPr="00F53B4A">
        <w:rPr>
          <w:rFonts w:eastAsia="Calibri"/>
          <w:color w:val="000000"/>
        </w:rPr>
        <w:t>eligible children sampled</w:t>
      </w:r>
    </w:p>
    <w:p w14:paraId="6CEBA7A5" w14:textId="77777777" w:rsidR="00AD765D" w:rsidRPr="00191EDC" w:rsidRDefault="00AD765D" w:rsidP="00AD765D">
      <w:pPr>
        <w:numPr>
          <w:ilvl w:val="0"/>
          <w:numId w:val="24"/>
        </w:numPr>
        <w:jc w:val="left"/>
        <w:rPr>
          <w:color w:val="000000"/>
        </w:rPr>
      </w:pPr>
      <w:r>
        <w:rPr>
          <w:rFonts w:eastAsia="Calibri"/>
          <w:b/>
          <w:color w:val="000000"/>
        </w:rPr>
        <w:t>Awareness of SMC:</w:t>
      </w:r>
      <w:r>
        <w:rPr>
          <w:color w:val="000000"/>
        </w:rPr>
        <w:t xml:space="preserve"> Proportion of </w:t>
      </w:r>
      <w:r>
        <w:rPr>
          <w:rFonts w:eastAsia="Calibri"/>
          <w:color w:val="000000"/>
        </w:rPr>
        <w:t>c</w:t>
      </w:r>
      <w:r w:rsidRPr="00F53B4A">
        <w:rPr>
          <w:rFonts w:eastAsia="Calibri"/>
          <w:color w:val="000000"/>
        </w:rPr>
        <w:t>aregiver</w:t>
      </w:r>
      <w:r>
        <w:rPr>
          <w:rFonts w:eastAsia="Calibri"/>
          <w:color w:val="000000"/>
        </w:rPr>
        <w:t xml:space="preserve">s  who </w:t>
      </w:r>
      <w:r w:rsidRPr="00F53B4A">
        <w:rPr>
          <w:rFonts w:eastAsia="Calibri"/>
          <w:color w:val="000000"/>
        </w:rPr>
        <w:t xml:space="preserve">heard announcements about SMC </w:t>
      </w:r>
      <w:r>
        <w:rPr>
          <w:rFonts w:eastAsia="Calibri"/>
          <w:color w:val="000000"/>
        </w:rPr>
        <w:t xml:space="preserve"> through town announcers </w:t>
      </w:r>
      <w:r w:rsidRPr="00F53B4A">
        <w:rPr>
          <w:rFonts w:eastAsia="Calibri"/>
          <w:color w:val="000000"/>
        </w:rPr>
        <w:t xml:space="preserve">within </w:t>
      </w:r>
      <w:r>
        <w:rPr>
          <w:rFonts w:eastAsia="Calibri"/>
          <w:color w:val="000000"/>
        </w:rPr>
        <w:t xml:space="preserve">the </w:t>
      </w:r>
      <w:r w:rsidRPr="00F53B4A">
        <w:rPr>
          <w:rFonts w:eastAsia="Calibri"/>
          <w:color w:val="000000"/>
        </w:rPr>
        <w:t>last month</w:t>
      </w:r>
      <w:r>
        <w:rPr>
          <w:rFonts w:eastAsia="Calibri"/>
          <w:color w:val="000000"/>
        </w:rPr>
        <w:t xml:space="preserve"> </w:t>
      </w:r>
      <w:r w:rsidRPr="00F53B4A">
        <w:rPr>
          <w:rFonts w:eastAsia="Calibri"/>
          <w:color w:val="000000"/>
        </w:rPr>
        <w:t xml:space="preserve">among </w:t>
      </w:r>
      <w:r>
        <w:rPr>
          <w:rFonts w:eastAsia="Calibri"/>
          <w:color w:val="000000"/>
        </w:rPr>
        <w:t xml:space="preserve">household with </w:t>
      </w:r>
      <w:r w:rsidRPr="00F53B4A">
        <w:rPr>
          <w:rFonts w:eastAsia="Calibri"/>
          <w:color w:val="000000"/>
        </w:rPr>
        <w:t>eligible children sampled</w:t>
      </w:r>
    </w:p>
    <w:p w14:paraId="278B65B5" w14:textId="77777777" w:rsidR="00AD765D" w:rsidRPr="00230608" w:rsidRDefault="00AD765D" w:rsidP="00AD765D">
      <w:pPr>
        <w:numPr>
          <w:ilvl w:val="0"/>
          <w:numId w:val="24"/>
        </w:numPr>
        <w:jc w:val="left"/>
        <w:rPr>
          <w:color w:val="000000"/>
        </w:rPr>
      </w:pPr>
      <w:r>
        <w:rPr>
          <w:rFonts w:eastAsia="Calibri"/>
          <w:b/>
          <w:color w:val="000000"/>
        </w:rPr>
        <w:t>Awareness of SMC:</w:t>
      </w:r>
      <w:r>
        <w:rPr>
          <w:color w:val="000000"/>
        </w:rPr>
        <w:t xml:space="preserve"> Proportion of </w:t>
      </w:r>
      <w:r>
        <w:rPr>
          <w:rFonts w:eastAsia="Calibri"/>
          <w:color w:val="000000"/>
        </w:rPr>
        <w:t>c</w:t>
      </w:r>
      <w:r w:rsidRPr="00F53B4A">
        <w:rPr>
          <w:rFonts w:eastAsia="Calibri"/>
          <w:color w:val="000000"/>
        </w:rPr>
        <w:t>aregiver</w:t>
      </w:r>
      <w:r>
        <w:rPr>
          <w:rFonts w:eastAsia="Calibri"/>
          <w:color w:val="000000"/>
        </w:rPr>
        <w:t xml:space="preserve">s  who </w:t>
      </w:r>
      <w:r w:rsidRPr="00F53B4A">
        <w:rPr>
          <w:rFonts w:eastAsia="Calibri"/>
          <w:color w:val="000000"/>
        </w:rPr>
        <w:t xml:space="preserve">heard announcements about SMC </w:t>
      </w:r>
      <w:r>
        <w:rPr>
          <w:rFonts w:eastAsia="Calibri"/>
          <w:color w:val="000000"/>
        </w:rPr>
        <w:t xml:space="preserve"> through community leaders </w:t>
      </w:r>
      <w:r w:rsidRPr="00F53B4A">
        <w:rPr>
          <w:rFonts w:eastAsia="Calibri"/>
          <w:color w:val="000000"/>
        </w:rPr>
        <w:t xml:space="preserve">within </w:t>
      </w:r>
      <w:r>
        <w:rPr>
          <w:rFonts w:eastAsia="Calibri"/>
          <w:color w:val="000000"/>
        </w:rPr>
        <w:t xml:space="preserve">the </w:t>
      </w:r>
      <w:r w:rsidRPr="00F53B4A">
        <w:rPr>
          <w:rFonts w:eastAsia="Calibri"/>
          <w:color w:val="000000"/>
        </w:rPr>
        <w:t>last month</w:t>
      </w:r>
      <w:r>
        <w:rPr>
          <w:rFonts w:eastAsia="Calibri"/>
          <w:color w:val="000000"/>
        </w:rPr>
        <w:t xml:space="preserve"> </w:t>
      </w:r>
      <w:r w:rsidRPr="00F53B4A">
        <w:rPr>
          <w:rFonts w:eastAsia="Calibri"/>
          <w:color w:val="000000"/>
        </w:rPr>
        <w:t xml:space="preserve">among </w:t>
      </w:r>
      <w:r>
        <w:rPr>
          <w:rFonts w:eastAsia="Calibri"/>
          <w:color w:val="000000"/>
        </w:rPr>
        <w:t xml:space="preserve">household with </w:t>
      </w:r>
      <w:r w:rsidRPr="00F53B4A">
        <w:rPr>
          <w:rFonts w:eastAsia="Calibri"/>
          <w:color w:val="000000"/>
        </w:rPr>
        <w:t>eligible children sampled</w:t>
      </w:r>
    </w:p>
    <w:p w14:paraId="29C99D42" w14:textId="77777777" w:rsidR="00AD765D" w:rsidRPr="006B0E84" w:rsidRDefault="00AD765D" w:rsidP="00AD765D">
      <w:pPr>
        <w:numPr>
          <w:ilvl w:val="0"/>
          <w:numId w:val="24"/>
        </w:numPr>
        <w:jc w:val="left"/>
        <w:rPr>
          <w:color w:val="000000"/>
        </w:rPr>
      </w:pPr>
      <w:r>
        <w:rPr>
          <w:rFonts w:eastAsia="Calibri"/>
          <w:b/>
          <w:color w:val="000000"/>
        </w:rPr>
        <w:t>Awareness of SMC:</w:t>
      </w:r>
      <w:r>
        <w:rPr>
          <w:color w:val="000000"/>
        </w:rPr>
        <w:t xml:space="preserve"> Proportion of </w:t>
      </w:r>
      <w:r>
        <w:rPr>
          <w:rFonts w:eastAsia="Calibri"/>
          <w:color w:val="000000"/>
        </w:rPr>
        <w:t>c</w:t>
      </w:r>
      <w:r w:rsidRPr="00F53B4A">
        <w:rPr>
          <w:rFonts w:eastAsia="Calibri"/>
          <w:color w:val="000000"/>
        </w:rPr>
        <w:t>aregiver</w:t>
      </w:r>
      <w:r>
        <w:rPr>
          <w:rFonts w:eastAsia="Calibri"/>
          <w:color w:val="000000"/>
        </w:rPr>
        <w:t xml:space="preserve">s  who </w:t>
      </w:r>
      <w:r w:rsidRPr="00F53B4A">
        <w:rPr>
          <w:rFonts w:eastAsia="Calibri"/>
          <w:color w:val="000000"/>
        </w:rPr>
        <w:t xml:space="preserve">heard announcements about SMC </w:t>
      </w:r>
      <w:r>
        <w:rPr>
          <w:rFonts w:eastAsia="Calibri"/>
          <w:color w:val="000000"/>
        </w:rPr>
        <w:t xml:space="preserve"> through health worker </w:t>
      </w:r>
      <w:r w:rsidRPr="00F53B4A">
        <w:rPr>
          <w:rFonts w:eastAsia="Calibri"/>
          <w:color w:val="000000"/>
        </w:rPr>
        <w:t xml:space="preserve">within </w:t>
      </w:r>
      <w:r>
        <w:rPr>
          <w:rFonts w:eastAsia="Calibri"/>
          <w:color w:val="000000"/>
        </w:rPr>
        <w:t xml:space="preserve">the </w:t>
      </w:r>
      <w:r w:rsidRPr="00F53B4A">
        <w:rPr>
          <w:rFonts w:eastAsia="Calibri"/>
          <w:color w:val="000000"/>
        </w:rPr>
        <w:t>last month</w:t>
      </w:r>
      <w:r>
        <w:rPr>
          <w:rFonts w:eastAsia="Calibri"/>
          <w:color w:val="000000"/>
        </w:rPr>
        <w:t xml:space="preserve"> </w:t>
      </w:r>
      <w:r w:rsidRPr="00F53B4A">
        <w:rPr>
          <w:rFonts w:eastAsia="Calibri"/>
          <w:color w:val="000000"/>
        </w:rPr>
        <w:t xml:space="preserve">among </w:t>
      </w:r>
      <w:r>
        <w:rPr>
          <w:rFonts w:eastAsia="Calibri"/>
          <w:color w:val="000000"/>
        </w:rPr>
        <w:t xml:space="preserve">household with </w:t>
      </w:r>
      <w:r w:rsidRPr="00F53B4A">
        <w:rPr>
          <w:rFonts w:eastAsia="Calibri"/>
          <w:color w:val="000000"/>
        </w:rPr>
        <w:t>eligible children sampled</w:t>
      </w:r>
    </w:p>
    <w:p w14:paraId="36A2B1E9" w14:textId="77777777" w:rsidR="00AD765D" w:rsidRPr="00F53B4A" w:rsidRDefault="00AD765D" w:rsidP="00AD765D">
      <w:pPr>
        <w:numPr>
          <w:ilvl w:val="0"/>
          <w:numId w:val="15"/>
        </w:numPr>
        <w:pBdr>
          <w:top w:val="nil"/>
          <w:left w:val="nil"/>
          <w:bottom w:val="nil"/>
          <w:right w:val="nil"/>
          <w:between w:val="nil"/>
        </w:pBdr>
        <w:rPr>
          <w:color w:val="000000"/>
        </w:rPr>
      </w:pPr>
      <w:r w:rsidRPr="00F53B4A">
        <w:rPr>
          <w:rFonts w:eastAsia="Calibri"/>
          <w:b/>
          <w:color w:val="000000"/>
        </w:rPr>
        <w:t>Confidence to give second and third SMC doses:</w:t>
      </w:r>
      <w:r w:rsidRPr="00F53B4A">
        <w:rPr>
          <w:rFonts w:eastAsia="Calibri"/>
          <w:color w:val="000000"/>
        </w:rPr>
        <w:t xml:space="preserve"> Proportion of caregivers reporting self-confidence in giving second and third SMC doses among eligible households visited by community drug distributor</w:t>
      </w:r>
    </w:p>
    <w:p w14:paraId="1A9015AF" w14:textId="77777777" w:rsidR="00AD765D" w:rsidRPr="00F53B4A" w:rsidRDefault="00AD765D" w:rsidP="00AD765D">
      <w:pPr>
        <w:numPr>
          <w:ilvl w:val="0"/>
          <w:numId w:val="15"/>
        </w:numPr>
        <w:pBdr>
          <w:top w:val="nil"/>
          <w:left w:val="nil"/>
          <w:bottom w:val="nil"/>
          <w:right w:val="nil"/>
          <w:between w:val="nil"/>
        </w:pBdr>
        <w:rPr>
          <w:color w:val="000000"/>
        </w:rPr>
      </w:pPr>
      <w:r w:rsidRPr="00F53B4A">
        <w:rPr>
          <w:rFonts w:eastAsia="Calibri"/>
          <w:b/>
          <w:color w:val="000000"/>
        </w:rPr>
        <w:t xml:space="preserve">Confidence to identify adverse events: </w:t>
      </w:r>
      <w:r w:rsidRPr="00F53B4A">
        <w:rPr>
          <w:rFonts w:eastAsia="Calibri"/>
          <w:color w:val="000000"/>
        </w:rPr>
        <w:t>Proportion of caregivers reporting self-confidence in identifying adverse events among eligible households visited by community drug distributor</w:t>
      </w:r>
    </w:p>
    <w:p w14:paraId="249C8C7A" w14:textId="77777777" w:rsidR="00AD765D" w:rsidRPr="00F53B4A" w:rsidRDefault="00AD765D" w:rsidP="00AD765D">
      <w:pPr>
        <w:numPr>
          <w:ilvl w:val="0"/>
          <w:numId w:val="15"/>
        </w:numPr>
        <w:pBdr>
          <w:top w:val="nil"/>
          <w:left w:val="nil"/>
          <w:bottom w:val="nil"/>
          <w:right w:val="nil"/>
          <w:between w:val="nil"/>
        </w:pBdr>
        <w:rPr>
          <w:rFonts w:eastAsia="Calibri"/>
        </w:rPr>
      </w:pPr>
      <w:r w:rsidRPr="00191EDC">
        <w:rPr>
          <w:rFonts w:eastAsia="Calibri"/>
          <w:b/>
          <w:bCs/>
          <w:color w:val="000000"/>
        </w:rPr>
        <w:t>Adverse drug reaction</w:t>
      </w:r>
      <w:r w:rsidRPr="00F53B4A">
        <w:rPr>
          <w:rFonts w:eastAsia="Calibri"/>
          <w:color w:val="000000"/>
        </w:rPr>
        <w:t>: Percentage of fever reported by caregivers of eligible children with ADR among households visited by CDD</w:t>
      </w:r>
    </w:p>
    <w:p w14:paraId="24C5FD1D" w14:textId="77777777" w:rsidR="00AD765D" w:rsidRPr="00F53B4A" w:rsidRDefault="00AD765D" w:rsidP="00AD765D">
      <w:pPr>
        <w:numPr>
          <w:ilvl w:val="0"/>
          <w:numId w:val="15"/>
        </w:numPr>
        <w:rPr>
          <w:rFonts w:eastAsia="Calibri"/>
        </w:rPr>
      </w:pPr>
      <w:r w:rsidRPr="00191EDC">
        <w:rPr>
          <w:rFonts w:eastAsia="Calibri"/>
          <w:b/>
          <w:bCs/>
          <w:color w:val="000000"/>
        </w:rPr>
        <w:t>Adverse drug reaction by type</w:t>
      </w:r>
      <w:r w:rsidRPr="00F53B4A">
        <w:rPr>
          <w:rFonts w:eastAsia="Calibri"/>
          <w:color w:val="000000"/>
        </w:rPr>
        <w:t>: Percentage of</w:t>
      </w:r>
      <w:r>
        <w:rPr>
          <w:rFonts w:eastAsia="Calibri"/>
          <w:color w:val="000000"/>
        </w:rPr>
        <w:t xml:space="preserve"> </w:t>
      </w:r>
      <w:r w:rsidRPr="00F53B4A">
        <w:rPr>
          <w:rFonts w:eastAsia="Calibri"/>
          <w:color w:val="000000"/>
        </w:rPr>
        <w:t>yellow eyes reported by caregivers of eligible children with ADR among households visited by CDD</w:t>
      </w:r>
    </w:p>
    <w:p w14:paraId="5A8BFE60" w14:textId="77777777" w:rsidR="00AD765D" w:rsidRPr="00F53B4A" w:rsidRDefault="00AD765D" w:rsidP="00AD765D">
      <w:pPr>
        <w:numPr>
          <w:ilvl w:val="0"/>
          <w:numId w:val="15"/>
        </w:numPr>
        <w:rPr>
          <w:rFonts w:eastAsia="Calibri"/>
        </w:rPr>
      </w:pPr>
      <w:r w:rsidRPr="00191EDC">
        <w:rPr>
          <w:rFonts w:eastAsia="Calibri"/>
          <w:b/>
          <w:bCs/>
          <w:color w:val="000000"/>
        </w:rPr>
        <w:t>Adverse drug reaction by type:</w:t>
      </w:r>
      <w:r w:rsidRPr="00F53B4A">
        <w:rPr>
          <w:rFonts w:eastAsia="Calibri"/>
          <w:color w:val="000000"/>
        </w:rPr>
        <w:t xml:space="preserve"> Percentage of diarrhea reported by caregivers of eligible children with ADR among households visited by CDD</w:t>
      </w:r>
    </w:p>
    <w:p w14:paraId="47AA9599" w14:textId="77777777" w:rsidR="00AD765D" w:rsidRPr="00F53B4A" w:rsidRDefault="00AD765D" w:rsidP="00AD765D">
      <w:pPr>
        <w:numPr>
          <w:ilvl w:val="0"/>
          <w:numId w:val="15"/>
        </w:numPr>
        <w:rPr>
          <w:rFonts w:eastAsia="Calibri"/>
        </w:rPr>
      </w:pPr>
      <w:r w:rsidRPr="00191EDC">
        <w:rPr>
          <w:rFonts w:eastAsia="Calibri"/>
          <w:b/>
          <w:bCs/>
          <w:color w:val="000000"/>
        </w:rPr>
        <w:t>Adverse drug reaction by type</w:t>
      </w:r>
      <w:r w:rsidRPr="00F53B4A">
        <w:rPr>
          <w:rFonts w:eastAsia="Calibri"/>
          <w:color w:val="000000"/>
        </w:rPr>
        <w:t>: Percentage of vomiting reported by caregivers of eligible children with ADR among households visited by CDD</w:t>
      </w:r>
    </w:p>
    <w:p w14:paraId="7639D78F" w14:textId="77777777" w:rsidR="00AD765D" w:rsidRPr="00F53B4A" w:rsidRDefault="00AD765D" w:rsidP="00AD765D">
      <w:pPr>
        <w:numPr>
          <w:ilvl w:val="0"/>
          <w:numId w:val="15"/>
        </w:numPr>
        <w:rPr>
          <w:rFonts w:eastAsia="Calibri"/>
        </w:rPr>
      </w:pPr>
      <w:r w:rsidRPr="00191EDC">
        <w:rPr>
          <w:rFonts w:eastAsia="Calibri"/>
          <w:b/>
          <w:bCs/>
          <w:color w:val="000000"/>
        </w:rPr>
        <w:lastRenderedPageBreak/>
        <w:t>Adverse drug reaction by type</w:t>
      </w:r>
      <w:r w:rsidRPr="00F53B4A">
        <w:rPr>
          <w:rFonts w:eastAsia="Calibri"/>
          <w:color w:val="000000"/>
        </w:rPr>
        <w:t>: Percentage of severe skin rash reported by caregivers of eligible children with ADR among households visited by CDD</w:t>
      </w:r>
    </w:p>
    <w:p w14:paraId="240F8602" w14:textId="77777777" w:rsidR="00AD765D" w:rsidRPr="00F53B4A" w:rsidRDefault="00AD765D" w:rsidP="00AD765D">
      <w:pPr>
        <w:numPr>
          <w:ilvl w:val="0"/>
          <w:numId w:val="15"/>
        </w:numPr>
        <w:pBdr>
          <w:top w:val="nil"/>
          <w:left w:val="nil"/>
          <w:bottom w:val="nil"/>
          <w:right w:val="nil"/>
          <w:between w:val="nil"/>
        </w:pBdr>
        <w:rPr>
          <w:color w:val="000000"/>
        </w:rPr>
      </w:pPr>
      <w:r w:rsidRPr="00F53B4A">
        <w:rPr>
          <w:rFonts w:eastAsia="Calibri"/>
          <w:b/>
          <w:color w:val="000000"/>
        </w:rPr>
        <w:t xml:space="preserve">Confidence to take child to health centre in the occurrence of adverse events: </w:t>
      </w:r>
      <w:r w:rsidRPr="00F53B4A">
        <w:rPr>
          <w:rFonts w:eastAsia="Calibri"/>
          <w:color w:val="000000"/>
        </w:rPr>
        <w:t>Proportion of caregivers reporting self-confidence to take child to health centre in case of adverse events among eligible households visited by community drug distributor.</w:t>
      </w:r>
    </w:p>
    <w:p w14:paraId="0294B45A" w14:textId="77777777" w:rsidR="00AD765D" w:rsidRPr="00F53B4A" w:rsidRDefault="00AD765D" w:rsidP="00AD765D">
      <w:pPr>
        <w:numPr>
          <w:ilvl w:val="0"/>
          <w:numId w:val="15"/>
        </w:numPr>
        <w:pBdr>
          <w:top w:val="nil"/>
          <w:left w:val="nil"/>
          <w:bottom w:val="nil"/>
          <w:right w:val="nil"/>
          <w:between w:val="nil"/>
        </w:pBdr>
        <w:rPr>
          <w:color w:val="000000"/>
        </w:rPr>
      </w:pPr>
      <w:r w:rsidRPr="00F53B4A">
        <w:rPr>
          <w:rFonts w:eastAsia="Calibri"/>
          <w:b/>
          <w:color w:val="000000"/>
        </w:rPr>
        <w:t>Perception on SMC:</w:t>
      </w:r>
      <w:r w:rsidRPr="00F53B4A">
        <w:rPr>
          <w:rFonts w:eastAsia="Calibri"/>
          <w:color w:val="000000"/>
        </w:rPr>
        <w:t xml:space="preserve"> Proportion of caregivers reporting positive perception of SMC among eligible households visited by community drug </w:t>
      </w:r>
      <w:r w:rsidRPr="00F53B4A">
        <w:rPr>
          <w:rFonts w:eastAsia="Calibri"/>
        </w:rPr>
        <w:t>distributors</w:t>
      </w:r>
      <w:r w:rsidRPr="00F53B4A">
        <w:rPr>
          <w:rFonts w:eastAsia="Calibri"/>
          <w:color w:val="000000"/>
        </w:rPr>
        <w:t xml:space="preserve">. </w:t>
      </w:r>
    </w:p>
    <w:p w14:paraId="1DD787F6" w14:textId="77777777" w:rsidR="00AD765D" w:rsidRPr="00F53B4A" w:rsidRDefault="00AD765D" w:rsidP="00AD765D">
      <w:pPr>
        <w:numPr>
          <w:ilvl w:val="0"/>
          <w:numId w:val="15"/>
        </w:numPr>
        <w:pBdr>
          <w:top w:val="nil"/>
          <w:left w:val="nil"/>
          <w:bottom w:val="nil"/>
          <w:right w:val="nil"/>
          <w:between w:val="nil"/>
        </w:pBdr>
        <w:rPr>
          <w:rFonts w:eastAsia="Calibri"/>
          <w:color w:val="000000"/>
        </w:rPr>
      </w:pPr>
      <w:r w:rsidRPr="00F53B4A">
        <w:rPr>
          <w:rFonts w:eastAsia="Calibri"/>
          <w:b/>
          <w:color w:val="000000"/>
        </w:rPr>
        <w:t>Use of personal protective equipment by distributors</w:t>
      </w:r>
      <w:r w:rsidRPr="00F53B4A">
        <w:rPr>
          <w:rFonts w:eastAsia="Calibri"/>
          <w:color w:val="000000"/>
        </w:rPr>
        <w:t>: Proportion of caregiver</w:t>
      </w:r>
      <w:r>
        <w:rPr>
          <w:rFonts w:eastAsia="Calibri"/>
          <w:color w:val="000000"/>
        </w:rPr>
        <w:t>s</w:t>
      </w:r>
      <w:r w:rsidRPr="00F53B4A">
        <w:rPr>
          <w:rFonts w:eastAsia="Calibri"/>
          <w:color w:val="000000"/>
        </w:rPr>
        <w:t xml:space="preserve"> reporting that distributor wore mask among eligible households visited by community drug distributor</w:t>
      </w:r>
    </w:p>
    <w:p w14:paraId="7087A2BC" w14:textId="77777777" w:rsidR="00AD765D" w:rsidRPr="00F53B4A" w:rsidRDefault="00AD765D" w:rsidP="00AD765D">
      <w:pPr>
        <w:numPr>
          <w:ilvl w:val="0"/>
          <w:numId w:val="15"/>
        </w:numPr>
        <w:pBdr>
          <w:top w:val="nil"/>
          <w:left w:val="nil"/>
          <w:bottom w:val="nil"/>
          <w:right w:val="nil"/>
          <w:between w:val="nil"/>
        </w:pBdr>
        <w:rPr>
          <w:rFonts w:eastAsia="Calibri"/>
        </w:rPr>
      </w:pPr>
      <w:r w:rsidRPr="00F53B4A">
        <w:rPr>
          <w:rFonts w:eastAsia="Calibri"/>
          <w:b/>
          <w:color w:val="000000"/>
        </w:rPr>
        <w:t>Delivery of COVID-19 prevention messages</w:t>
      </w:r>
      <w:r w:rsidRPr="00F53B4A">
        <w:rPr>
          <w:rFonts w:eastAsia="Calibri"/>
          <w:color w:val="000000"/>
        </w:rPr>
        <w:t>: Proportion of caregiver</w:t>
      </w:r>
      <w:r>
        <w:rPr>
          <w:rFonts w:eastAsia="Calibri"/>
          <w:color w:val="000000"/>
        </w:rPr>
        <w:t>s</w:t>
      </w:r>
      <w:r w:rsidRPr="00F53B4A">
        <w:rPr>
          <w:rFonts w:eastAsia="Calibri"/>
          <w:color w:val="000000"/>
        </w:rPr>
        <w:t xml:space="preserve"> </w:t>
      </w:r>
      <w:r>
        <w:rPr>
          <w:rFonts w:eastAsia="Calibri"/>
          <w:color w:val="000000"/>
        </w:rPr>
        <w:t xml:space="preserve">who </w:t>
      </w:r>
      <w:r w:rsidRPr="00F53B4A">
        <w:rPr>
          <w:rFonts w:eastAsia="Calibri"/>
          <w:color w:val="000000"/>
        </w:rPr>
        <w:t>report</w:t>
      </w:r>
      <w:r>
        <w:rPr>
          <w:rFonts w:eastAsia="Calibri"/>
          <w:color w:val="000000"/>
        </w:rPr>
        <w:t xml:space="preserve">ed to have </w:t>
      </w:r>
      <w:r w:rsidRPr="00F53B4A">
        <w:rPr>
          <w:rFonts w:eastAsia="Calibri"/>
          <w:color w:val="000000"/>
        </w:rPr>
        <w:t xml:space="preserve"> </w:t>
      </w:r>
      <w:r>
        <w:rPr>
          <w:rFonts w:eastAsia="Calibri"/>
          <w:color w:val="000000"/>
        </w:rPr>
        <w:t xml:space="preserve"> received </w:t>
      </w:r>
      <w:r w:rsidRPr="00F53B4A">
        <w:rPr>
          <w:rFonts w:eastAsia="Calibri"/>
          <w:color w:val="000000"/>
        </w:rPr>
        <w:t xml:space="preserve">information on COVID-19 prevention </w:t>
      </w:r>
      <w:r>
        <w:rPr>
          <w:rFonts w:eastAsia="Calibri"/>
          <w:color w:val="000000"/>
        </w:rPr>
        <w:t xml:space="preserve"> during SP+AQ administration </w:t>
      </w:r>
      <w:r w:rsidRPr="00F53B4A">
        <w:rPr>
          <w:rFonts w:eastAsia="Calibri"/>
          <w:color w:val="000000"/>
        </w:rPr>
        <w:t xml:space="preserve">among eligible households visited by community </w:t>
      </w:r>
      <w:r>
        <w:rPr>
          <w:rFonts w:eastAsia="Calibri"/>
          <w:color w:val="000000"/>
        </w:rPr>
        <w:t xml:space="preserve">drug </w:t>
      </w:r>
      <w:r w:rsidRPr="00F53B4A">
        <w:rPr>
          <w:rFonts w:eastAsia="Calibri"/>
        </w:rPr>
        <w:t>distributors</w:t>
      </w:r>
      <w:r w:rsidRPr="00F53B4A">
        <w:rPr>
          <w:rFonts w:eastAsia="Calibri"/>
          <w:color w:val="000000"/>
        </w:rPr>
        <w:t xml:space="preserve">. </w:t>
      </w:r>
    </w:p>
    <w:p w14:paraId="1E7B0A3F" w14:textId="77777777" w:rsidR="00AD765D" w:rsidRPr="00F53B4A" w:rsidRDefault="00AD765D" w:rsidP="00AD765D">
      <w:pPr>
        <w:numPr>
          <w:ilvl w:val="0"/>
          <w:numId w:val="15"/>
        </w:numPr>
        <w:rPr>
          <w:rFonts w:eastAsia="Calibri"/>
        </w:rPr>
      </w:pPr>
      <w:r w:rsidRPr="00191EDC">
        <w:rPr>
          <w:rFonts w:eastAsia="Calibri"/>
          <w:b/>
          <w:color w:val="000000"/>
        </w:rPr>
        <w:t>Household possession of mosquito net</w:t>
      </w:r>
      <w:r w:rsidRPr="00F53B4A">
        <w:rPr>
          <w:rFonts w:eastAsia="Calibri"/>
          <w:color w:val="000000"/>
        </w:rPr>
        <w:t>: Percentage of household with at least one mosquito net (treated or untreated) among households visited by CDD</w:t>
      </w:r>
    </w:p>
    <w:p w14:paraId="7144E7C7" w14:textId="77777777" w:rsidR="00AD765D" w:rsidRPr="00F53B4A" w:rsidRDefault="00AD765D" w:rsidP="00AD765D">
      <w:pPr>
        <w:numPr>
          <w:ilvl w:val="0"/>
          <w:numId w:val="15"/>
        </w:numPr>
        <w:rPr>
          <w:rFonts w:eastAsia="Calibri"/>
        </w:rPr>
      </w:pPr>
      <w:r w:rsidRPr="00191EDC">
        <w:rPr>
          <w:rFonts w:eastAsia="Calibri"/>
          <w:b/>
          <w:color w:val="000000"/>
        </w:rPr>
        <w:t>Use of mosquito net by persons in the household</w:t>
      </w:r>
      <w:r w:rsidRPr="00F53B4A">
        <w:rPr>
          <w:rFonts w:eastAsia="Calibri"/>
          <w:color w:val="000000"/>
        </w:rPr>
        <w:t>: Percentage of persons who slept under an LLIN last night among household visited by CDD</w:t>
      </w:r>
    </w:p>
    <w:p w14:paraId="7B7CB5C6" w14:textId="77777777" w:rsidR="00AD765D" w:rsidRPr="00F53B4A" w:rsidRDefault="00AD765D" w:rsidP="00AD765D">
      <w:pPr>
        <w:numPr>
          <w:ilvl w:val="0"/>
          <w:numId w:val="15"/>
        </w:numPr>
        <w:rPr>
          <w:rFonts w:eastAsia="Calibri"/>
        </w:rPr>
      </w:pPr>
      <w:r w:rsidRPr="00191EDC">
        <w:rPr>
          <w:rFonts w:eastAsia="Calibri"/>
          <w:b/>
          <w:color w:val="000000"/>
        </w:rPr>
        <w:t>Adherence to SMC delivery protocol</w:t>
      </w:r>
      <w:r w:rsidRPr="00F53B4A">
        <w:rPr>
          <w:rFonts w:eastAsia="Calibri"/>
          <w:color w:val="000000"/>
        </w:rPr>
        <w:t>: Percentage of household correctly marked by CDD among household</w:t>
      </w:r>
      <w:r>
        <w:rPr>
          <w:rFonts w:eastAsia="Calibri"/>
          <w:color w:val="000000"/>
        </w:rPr>
        <w:t>s</w:t>
      </w:r>
      <w:r w:rsidRPr="00F53B4A">
        <w:rPr>
          <w:rFonts w:eastAsia="Calibri"/>
          <w:color w:val="000000"/>
        </w:rPr>
        <w:t xml:space="preserve"> visited by CDD</w:t>
      </w:r>
    </w:p>
    <w:p w14:paraId="7A567020" w14:textId="77777777" w:rsidR="00AD765D" w:rsidRPr="00F53B4A" w:rsidRDefault="00AD765D" w:rsidP="00AD765D">
      <w:pPr>
        <w:numPr>
          <w:ilvl w:val="0"/>
          <w:numId w:val="15"/>
        </w:numPr>
        <w:rPr>
          <w:rFonts w:eastAsia="Calibri"/>
        </w:rPr>
      </w:pPr>
      <w:r w:rsidRPr="00191EDC">
        <w:rPr>
          <w:rFonts w:eastAsia="Calibri"/>
          <w:b/>
          <w:color w:val="000000"/>
        </w:rPr>
        <w:t>Adherence to SMC delivery protocol</w:t>
      </w:r>
      <w:r w:rsidRPr="00F53B4A">
        <w:rPr>
          <w:rFonts w:eastAsia="Calibri"/>
          <w:color w:val="000000"/>
        </w:rPr>
        <w:t>: Percentage of CDD</w:t>
      </w:r>
      <w:r>
        <w:rPr>
          <w:rFonts w:eastAsia="Calibri"/>
          <w:color w:val="000000"/>
        </w:rPr>
        <w:t>s</w:t>
      </w:r>
      <w:r w:rsidRPr="00F53B4A">
        <w:rPr>
          <w:rFonts w:eastAsia="Calibri"/>
          <w:color w:val="000000"/>
        </w:rPr>
        <w:t xml:space="preserve"> known to caregiver</w:t>
      </w:r>
      <w:r>
        <w:rPr>
          <w:rFonts w:eastAsia="Calibri"/>
          <w:color w:val="000000"/>
        </w:rPr>
        <w:t>s</w:t>
      </w:r>
      <w:r w:rsidRPr="00F53B4A">
        <w:rPr>
          <w:rFonts w:eastAsia="Calibri"/>
          <w:color w:val="000000"/>
        </w:rPr>
        <w:t xml:space="preserve"> among household visited by CDD</w:t>
      </w:r>
    </w:p>
    <w:p w14:paraId="61187DEC" w14:textId="77777777" w:rsidR="00AD765D" w:rsidRPr="00F53B4A" w:rsidRDefault="00AD765D" w:rsidP="00AD765D">
      <w:pPr>
        <w:numPr>
          <w:ilvl w:val="0"/>
          <w:numId w:val="15"/>
        </w:numPr>
        <w:rPr>
          <w:rFonts w:eastAsia="Calibri"/>
        </w:rPr>
      </w:pPr>
      <w:r w:rsidRPr="00191EDC">
        <w:rPr>
          <w:rFonts w:eastAsia="Calibri"/>
          <w:b/>
          <w:color w:val="000000"/>
        </w:rPr>
        <w:t>Adherence to SMC delivery protocol</w:t>
      </w:r>
      <w:r w:rsidRPr="00F53B4A">
        <w:rPr>
          <w:rFonts w:eastAsia="Calibri"/>
          <w:color w:val="000000"/>
        </w:rPr>
        <w:t>: Percentage of HH visited by lead mother to remind caregiver to administer AQ on day2 and 3</w:t>
      </w:r>
    </w:p>
    <w:p w14:paraId="03A3C225" w14:textId="77777777" w:rsidR="00AD765D" w:rsidRPr="00F53B4A" w:rsidRDefault="00AD765D" w:rsidP="00AD765D">
      <w:pPr>
        <w:numPr>
          <w:ilvl w:val="0"/>
          <w:numId w:val="15"/>
        </w:numPr>
        <w:rPr>
          <w:rFonts w:eastAsia="Calibri"/>
        </w:rPr>
      </w:pPr>
      <w:r w:rsidRPr="00191EDC">
        <w:rPr>
          <w:rFonts w:eastAsia="Calibri"/>
          <w:b/>
          <w:color w:val="000000"/>
        </w:rPr>
        <w:t>SMC impact assessment</w:t>
      </w:r>
      <w:r w:rsidRPr="00F53B4A">
        <w:rPr>
          <w:rFonts w:eastAsia="Calibri"/>
          <w:color w:val="000000"/>
        </w:rPr>
        <w:t>: Percentage of Children treated with SMC, who had fever within the last month (caregiver-reported) among household</w:t>
      </w:r>
      <w:r>
        <w:rPr>
          <w:rFonts w:eastAsia="Calibri"/>
          <w:color w:val="000000"/>
        </w:rPr>
        <w:t>s</w:t>
      </w:r>
      <w:r w:rsidRPr="00F53B4A">
        <w:rPr>
          <w:rFonts w:eastAsia="Calibri"/>
          <w:color w:val="000000"/>
        </w:rPr>
        <w:t xml:space="preserve"> visited by CDD</w:t>
      </w:r>
    </w:p>
    <w:p w14:paraId="3C5BBF23" w14:textId="77777777" w:rsidR="00AD765D" w:rsidRPr="00F53B4A" w:rsidRDefault="00AD765D" w:rsidP="00AD765D">
      <w:pPr>
        <w:numPr>
          <w:ilvl w:val="0"/>
          <w:numId w:val="15"/>
        </w:numPr>
        <w:rPr>
          <w:rFonts w:eastAsia="Calibri"/>
        </w:rPr>
      </w:pPr>
      <w:r w:rsidRPr="00191EDC">
        <w:rPr>
          <w:rFonts w:eastAsia="Calibri"/>
          <w:b/>
          <w:color w:val="000000"/>
        </w:rPr>
        <w:t>SMC impact assessment</w:t>
      </w:r>
      <w:r w:rsidRPr="00F53B4A">
        <w:rPr>
          <w:rFonts w:eastAsia="Calibri"/>
          <w:color w:val="000000"/>
        </w:rPr>
        <w:t>: Percentage of Children treated with SMC, who had fever was taken to the HF (caregiver-reported) among household</w:t>
      </w:r>
      <w:r>
        <w:rPr>
          <w:rFonts w:eastAsia="Calibri"/>
          <w:color w:val="000000"/>
        </w:rPr>
        <w:t>s</w:t>
      </w:r>
      <w:r w:rsidRPr="00F53B4A">
        <w:rPr>
          <w:rFonts w:eastAsia="Calibri"/>
          <w:color w:val="000000"/>
        </w:rPr>
        <w:t xml:space="preserve"> visited by CDD</w:t>
      </w:r>
    </w:p>
    <w:p w14:paraId="26C07650" w14:textId="77777777" w:rsidR="00AD765D" w:rsidRPr="00F53B4A" w:rsidRDefault="00AD765D" w:rsidP="00AD765D">
      <w:pPr>
        <w:numPr>
          <w:ilvl w:val="0"/>
          <w:numId w:val="15"/>
        </w:numPr>
        <w:rPr>
          <w:rFonts w:eastAsia="Calibri"/>
        </w:rPr>
      </w:pPr>
      <w:r w:rsidRPr="00191EDC">
        <w:rPr>
          <w:rFonts w:eastAsia="Calibri"/>
          <w:b/>
          <w:color w:val="000000"/>
        </w:rPr>
        <w:t>SMC impact assessment</w:t>
      </w:r>
      <w:r w:rsidRPr="00F53B4A">
        <w:rPr>
          <w:rFonts w:eastAsia="Calibri"/>
          <w:color w:val="000000"/>
        </w:rPr>
        <w:t>: Percentage of Children treated with SMC, who had fever and tested positive for malaria by RDT/Microscopy (caregiver-reported) among household</w:t>
      </w:r>
      <w:r>
        <w:rPr>
          <w:rFonts w:eastAsia="Calibri"/>
          <w:color w:val="000000"/>
        </w:rPr>
        <w:t>s</w:t>
      </w:r>
      <w:r w:rsidRPr="00F53B4A">
        <w:rPr>
          <w:rFonts w:eastAsia="Calibri"/>
          <w:color w:val="000000"/>
        </w:rPr>
        <w:t xml:space="preserve"> visited by CDD</w:t>
      </w:r>
    </w:p>
    <w:p w14:paraId="40879150" w14:textId="77777777" w:rsidR="00AD765D" w:rsidRPr="00F53B4A" w:rsidRDefault="00AD765D" w:rsidP="00AD765D">
      <w:pPr>
        <w:rPr>
          <w:rFonts w:eastAsia="Calibri"/>
          <w:color w:val="000000"/>
        </w:rPr>
      </w:pPr>
    </w:p>
    <w:p w14:paraId="2BDE7105" w14:textId="77777777" w:rsidR="00AD765D" w:rsidRPr="00F53B4A" w:rsidRDefault="00AD765D" w:rsidP="00AD765D">
      <w:pPr>
        <w:spacing w:after="240"/>
        <w:rPr>
          <w:rFonts w:eastAsia="Calibri"/>
          <w:color w:val="000000"/>
        </w:rPr>
      </w:pPr>
      <w:r w:rsidRPr="00F53B4A">
        <w:rPr>
          <w:rFonts w:eastAsia="Calibri"/>
          <w:color w:val="000000"/>
        </w:rPr>
        <w:lastRenderedPageBreak/>
        <w:t>Other information to be obtained will include the following:</w:t>
      </w:r>
    </w:p>
    <w:p w14:paraId="0FA2A72F" w14:textId="77777777" w:rsidR="00AD765D" w:rsidRPr="00F53B4A" w:rsidRDefault="00AD765D" w:rsidP="00AD765D">
      <w:pPr>
        <w:numPr>
          <w:ilvl w:val="0"/>
          <w:numId w:val="24"/>
        </w:numPr>
        <w:spacing w:before="240"/>
        <w:jc w:val="left"/>
        <w:rPr>
          <w:rFonts w:eastAsia="Calibri"/>
        </w:rPr>
      </w:pPr>
      <w:r w:rsidRPr="00F53B4A">
        <w:rPr>
          <w:rFonts w:eastAsia="Calibri"/>
          <w:color w:val="000000"/>
        </w:rPr>
        <w:t>Household refused distributor to speak to householder due to COVID-19</w:t>
      </w:r>
    </w:p>
    <w:p w14:paraId="6DF46BCC" w14:textId="77777777" w:rsidR="00AD765D" w:rsidRPr="00F53B4A" w:rsidRDefault="00AD765D" w:rsidP="00AD765D">
      <w:pPr>
        <w:numPr>
          <w:ilvl w:val="0"/>
          <w:numId w:val="24"/>
        </w:numPr>
        <w:jc w:val="left"/>
        <w:rPr>
          <w:rFonts w:eastAsia="Calibri"/>
        </w:rPr>
      </w:pPr>
      <w:r w:rsidRPr="00F53B4A">
        <w:rPr>
          <w:rFonts w:eastAsia="Calibri"/>
          <w:color w:val="000000"/>
        </w:rPr>
        <w:t>Household member reported COVID-19 symptoms within the last month prior to survey</w:t>
      </w:r>
    </w:p>
    <w:p w14:paraId="54D85404" w14:textId="77777777" w:rsidR="00AD765D" w:rsidRPr="00F53B4A" w:rsidRDefault="00AD765D" w:rsidP="00AD765D">
      <w:pPr>
        <w:numPr>
          <w:ilvl w:val="0"/>
          <w:numId w:val="24"/>
        </w:numPr>
        <w:jc w:val="left"/>
        <w:rPr>
          <w:rFonts w:eastAsia="Calibri"/>
        </w:rPr>
      </w:pPr>
      <w:r w:rsidRPr="00F53B4A">
        <w:rPr>
          <w:rFonts w:eastAsia="Calibri"/>
          <w:color w:val="000000"/>
        </w:rPr>
        <w:t>Community distributor known to caregiver</w:t>
      </w:r>
    </w:p>
    <w:p w14:paraId="0A1BEE4E" w14:textId="77777777" w:rsidR="00AD765D" w:rsidRPr="00F53B4A" w:rsidRDefault="00AD765D" w:rsidP="00AD765D">
      <w:pPr>
        <w:numPr>
          <w:ilvl w:val="0"/>
          <w:numId w:val="24"/>
        </w:numPr>
        <w:jc w:val="left"/>
        <w:rPr>
          <w:rFonts w:eastAsia="Calibri"/>
        </w:rPr>
      </w:pPr>
      <w:r w:rsidRPr="00F53B4A">
        <w:rPr>
          <w:rFonts w:eastAsia="Calibri"/>
          <w:color w:val="000000"/>
        </w:rPr>
        <w:t>Reason child did not receive SP (Day 1)</w:t>
      </w:r>
    </w:p>
    <w:p w14:paraId="6C91D96F" w14:textId="77777777" w:rsidR="00AD765D" w:rsidRPr="00F53B4A" w:rsidRDefault="00AD765D" w:rsidP="00AD765D">
      <w:pPr>
        <w:numPr>
          <w:ilvl w:val="0"/>
          <w:numId w:val="24"/>
        </w:numPr>
        <w:jc w:val="left"/>
        <w:rPr>
          <w:rFonts w:eastAsia="Calibri"/>
        </w:rPr>
      </w:pPr>
      <w:r w:rsidRPr="00F53B4A">
        <w:rPr>
          <w:rFonts w:eastAsia="Calibri"/>
          <w:color w:val="000000"/>
        </w:rPr>
        <w:t>Reason child did not receive AQ on Day 2 and 3</w:t>
      </w:r>
    </w:p>
    <w:p w14:paraId="324F72E2" w14:textId="77777777" w:rsidR="00AD765D" w:rsidRPr="00F53B4A" w:rsidRDefault="00AD765D" w:rsidP="00AD765D">
      <w:pPr>
        <w:numPr>
          <w:ilvl w:val="0"/>
          <w:numId w:val="24"/>
        </w:numPr>
        <w:jc w:val="left"/>
        <w:rPr>
          <w:rFonts w:eastAsia="Calibri"/>
        </w:rPr>
      </w:pPr>
      <w:r w:rsidRPr="00F53B4A">
        <w:rPr>
          <w:rFonts w:eastAsia="Calibri"/>
          <w:color w:val="000000"/>
        </w:rPr>
        <w:t xml:space="preserve"> Reasons for non-availability of SMC card</w:t>
      </w:r>
    </w:p>
    <w:p w14:paraId="2CF70FCF" w14:textId="77777777" w:rsidR="00AD765D" w:rsidRPr="00F53B4A" w:rsidRDefault="00AD765D" w:rsidP="00AD765D">
      <w:pPr>
        <w:numPr>
          <w:ilvl w:val="0"/>
          <w:numId w:val="24"/>
        </w:numPr>
        <w:jc w:val="left"/>
        <w:rPr>
          <w:rFonts w:eastAsia="Calibri"/>
        </w:rPr>
      </w:pPr>
      <w:r w:rsidRPr="00F53B4A">
        <w:rPr>
          <w:rFonts w:eastAsia="Calibri"/>
          <w:color w:val="000000"/>
        </w:rPr>
        <w:t>Sources of information about SMC</w:t>
      </w:r>
    </w:p>
    <w:p w14:paraId="1D264B86" w14:textId="77777777" w:rsidR="00AD765D" w:rsidRPr="00F53B4A" w:rsidRDefault="00AD765D" w:rsidP="00AD765D">
      <w:pPr>
        <w:numPr>
          <w:ilvl w:val="0"/>
          <w:numId w:val="24"/>
        </w:numPr>
        <w:jc w:val="left"/>
        <w:rPr>
          <w:rFonts w:eastAsia="Calibri"/>
        </w:rPr>
      </w:pPr>
      <w:r w:rsidRPr="00F53B4A">
        <w:rPr>
          <w:rFonts w:eastAsia="Calibri"/>
          <w:color w:val="000000"/>
        </w:rPr>
        <w:t>Measures of socioeconomic position of household (occupation, assets and amenities, level of education of head of household and caregiver)</w:t>
      </w:r>
    </w:p>
    <w:p w14:paraId="612C068E" w14:textId="77777777" w:rsidR="00AD765D" w:rsidRPr="00F53B4A" w:rsidRDefault="00AD765D" w:rsidP="00AD765D">
      <w:pPr>
        <w:numPr>
          <w:ilvl w:val="0"/>
          <w:numId w:val="24"/>
        </w:numPr>
        <w:jc w:val="left"/>
        <w:rPr>
          <w:rFonts w:eastAsia="Calibri"/>
        </w:rPr>
      </w:pPr>
      <w:r w:rsidRPr="00F53B4A">
        <w:rPr>
          <w:rFonts w:eastAsia="Calibri"/>
          <w:color w:val="000000"/>
        </w:rPr>
        <w:t>Re-dosing on Day 1 in the case of vomiting</w:t>
      </w:r>
    </w:p>
    <w:p w14:paraId="71045C3C" w14:textId="77777777" w:rsidR="00AD765D" w:rsidRPr="00F53B4A" w:rsidRDefault="00AD765D" w:rsidP="00AD765D">
      <w:pPr>
        <w:numPr>
          <w:ilvl w:val="0"/>
          <w:numId w:val="24"/>
        </w:numPr>
        <w:jc w:val="left"/>
        <w:rPr>
          <w:rFonts w:eastAsia="Calibri"/>
        </w:rPr>
      </w:pPr>
      <w:r w:rsidRPr="00F53B4A">
        <w:rPr>
          <w:rFonts w:eastAsia="Calibri"/>
          <w:color w:val="000000"/>
        </w:rPr>
        <w:t>Receipt of SMC outside house-to-house SMC distribution (e.g. opportunistically from health facility personnel, a fixed point</w:t>
      </w:r>
    </w:p>
    <w:p w14:paraId="4F536427" w14:textId="77777777" w:rsidR="00AD765D" w:rsidRPr="00F53B4A" w:rsidRDefault="00AD765D" w:rsidP="00AD765D">
      <w:pPr>
        <w:numPr>
          <w:ilvl w:val="0"/>
          <w:numId w:val="24"/>
        </w:numPr>
        <w:spacing w:after="240"/>
        <w:jc w:val="left"/>
        <w:rPr>
          <w:rFonts w:eastAsia="Calibri"/>
        </w:rPr>
      </w:pPr>
      <w:r w:rsidRPr="00F53B4A">
        <w:rPr>
          <w:rFonts w:eastAsia="Calibri"/>
          <w:color w:val="000000"/>
        </w:rPr>
        <w:t>Questions on recent places of residence and migration</w:t>
      </w:r>
    </w:p>
    <w:p w14:paraId="3D676904" w14:textId="77777777" w:rsidR="00AD765D" w:rsidRPr="00530D0E" w:rsidRDefault="00AD765D" w:rsidP="00AD765D">
      <w:pPr>
        <w:pBdr>
          <w:top w:val="nil"/>
          <w:left w:val="nil"/>
          <w:bottom w:val="nil"/>
          <w:right w:val="nil"/>
          <w:between w:val="nil"/>
        </w:pBdr>
        <w:spacing w:after="240"/>
        <w:ind w:left="360"/>
        <w:contextualSpacing/>
        <w:jc w:val="left"/>
        <w:rPr>
          <w:rFonts w:eastAsia="Calibri"/>
          <w:color w:val="000000"/>
        </w:rPr>
      </w:pPr>
    </w:p>
    <w:p w14:paraId="51442FA9" w14:textId="77777777" w:rsidR="00A53502" w:rsidRPr="00F53B4A" w:rsidRDefault="00352830" w:rsidP="00552782">
      <w:pPr>
        <w:pStyle w:val="Heading1"/>
      </w:pPr>
      <w:bookmarkStart w:id="10" w:name="_Toc53960782"/>
      <w:r w:rsidRPr="00552782">
        <w:t>METHODS</w:t>
      </w:r>
      <w:bookmarkEnd w:id="10"/>
    </w:p>
    <w:p w14:paraId="3FE559DC" w14:textId="77777777" w:rsidR="00A53502" w:rsidRPr="00F53B4A" w:rsidRDefault="00352830" w:rsidP="00552782">
      <w:pPr>
        <w:pStyle w:val="Heading2"/>
      </w:pPr>
      <w:bookmarkStart w:id="11" w:name="_Toc53960783"/>
      <w:r w:rsidRPr="00F53B4A">
        <w:t xml:space="preserve">Survey </w:t>
      </w:r>
      <w:r w:rsidRPr="00552782">
        <w:t>design</w:t>
      </w:r>
      <w:bookmarkEnd w:id="11"/>
    </w:p>
    <w:p w14:paraId="5CB5233D" w14:textId="50F01BCC" w:rsidR="00A53502" w:rsidRPr="00F53B4A" w:rsidRDefault="00352830">
      <w:pPr>
        <w:spacing w:after="240"/>
        <w:rPr>
          <w:rFonts w:eastAsia="Calibri"/>
        </w:rPr>
      </w:pPr>
      <w:r w:rsidRPr="00F53B4A">
        <w:rPr>
          <w:rFonts w:eastAsia="Calibri"/>
        </w:rPr>
        <w:t>A cross-sectional survey will be conducted in each of the states implementing SMC to collect data and measure coverage of the SMC treatment programme among eligible children aged 3-59</w:t>
      </w:r>
      <w:r w:rsidR="00B52712">
        <w:rPr>
          <w:rFonts w:eastAsia="Calibri"/>
        </w:rPr>
        <w:t xml:space="preserve"> </w:t>
      </w:r>
      <w:r w:rsidRPr="00F53B4A">
        <w:rPr>
          <w:rFonts w:eastAsia="Calibri"/>
        </w:rPr>
        <w:t xml:space="preserve">months in the state.   </w:t>
      </w:r>
    </w:p>
    <w:p w14:paraId="2C15BE97" w14:textId="77777777" w:rsidR="00A53502" w:rsidRPr="00F53B4A" w:rsidRDefault="00352830" w:rsidP="00552782">
      <w:pPr>
        <w:pStyle w:val="Heading2"/>
      </w:pPr>
      <w:bookmarkStart w:id="12" w:name="_Toc53960784"/>
      <w:r w:rsidRPr="00552782">
        <w:t>Survey</w:t>
      </w:r>
      <w:r w:rsidRPr="00F53B4A">
        <w:t xml:space="preserve"> Area</w:t>
      </w:r>
      <w:bookmarkEnd w:id="12"/>
    </w:p>
    <w:p w14:paraId="593D821E" w14:textId="77777777" w:rsidR="00A53502" w:rsidRPr="00F53B4A" w:rsidRDefault="00352830">
      <w:pPr>
        <w:spacing w:after="240"/>
        <w:rPr>
          <w:rFonts w:eastAsia="Calibri"/>
        </w:rPr>
      </w:pPr>
      <w:r w:rsidRPr="00F53B4A">
        <w:rPr>
          <w:rFonts w:eastAsia="Calibri"/>
        </w:rPr>
        <w:t>The survey will be conducted in representative enumeration areas (EAs) across the states where the SMC campaign was conducted by the SMC intervention in Nigeria. Details about the sampling frame and description of the EAs is further described below.</w:t>
      </w:r>
    </w:p>
    <w:p w14:paraId="27B59BE1" w14:textId="77777777" w:rsidR="00A53502" w:rsidRPr="00F53B4A" w:rsidRDefault="00352830" w:rsidP="00552782">
      <w:pPr>
        <w:pStyle w:val="Heading2"/>
      </w:pPr>
      <w:bookmarkStart w:id="13" w:name="_Toc53960785"/>
      <w:r w:rsidRPr="00F53B4A">
        <w:t xml:space="preserve">Survey </w:t>
      </w:r>
      <w:r w:rsidRPr="00552782">
        <w:t>population</w:t>
      </w:r>
      <w:bookmarkEnd w:id="13"/>
    </w:p>
    <w:p w14:paraId="7D29DE8D" w14:textId="7CBE2CB6" w:rsidR="00A53502" w:rsidRPr="002D6DC9" w:rsidRDefault="00352830">
      <w:pPr>
        <w:spacing w:after="240"/>
        <w:rPr>
          <w:rFonts w:eastAsia="Calibri"/>
        </w:rPr>
      </w:pPr>
      <w:r w:rsidRPr="00F53B4A">
        <w:rPr>
          <w:rFonts w:eastAsia="Calibri"/>
        </w:rPr>
        <w:t>The survey population will be primary caregivers and heads of households with children age 3–59 months who were resident in location</w:t>
      </w:r>
      <w:r w:rsidR="002D6DC9">
        <w:rPr>
          <w:rFonts w:eastAsia="Calibri"/>
        </w:rPr>
        <w:t>s of sampled</w:t>
      </w:r>
      <w:r w:rsidRPr="00F53B4A">
        <w:rPr>
          <w:rFonts w:eastAsia="Calibri"/>
        </w:rPr>
        <w:t xml:space="preserve"> </w:t>
      </w:r>
      <w:r w:rsidR="002D6DC9" w:rsidRPr="00F53B4A">
        <w:rPr>
          <w:rFonts w:eastAsia="Calibri"/>
        </w:rPr>
        <w:t xml:space="preserve">survey </w:t>
      </w:r>
      <w:r w:rsidR="002D6DC9">
        <w:rPr>
          <w:rFonts w:eastAsia="Calibri"/>
        </w:rPr>
        <w:t xml:space="preserve">clusters </w:t>
      </w:r>
      <w:r w:rsidRPr="00F53B4A">
        <w:rPr>
          <w:rFonts w:eastAsia="Calibri"/>
        </w:rPr>
        <w:t xml:space="preserve">during the period </w:t>
      </w:r>
      <w:r w:rsidRPr="002D6DC9">
        <w:rPr>
          <w:rFonts w:eastAsia="Calibri"/>
        </w:rPr>
        <w:t xml:space="preserve">of the SMC programme implementation. </w:t>
      </w:r>
    </w:p>
    <w:p w14:paraId="4A4BC2EE" w14:textId="77777777" w:rsidR="00A53502" w:rsidRPr="00691D2D" w:rsidRDefault="00352830" w:rsidP="00552782">
      <w:pPr>
        <w:pStyle w:val="Heading3"/>
        <w:rPr>
          <w:rFonts w:ascii="Times New Roman" w:hAnsi="Times New Roman" w:cs="Times New Roman"/>
        </w:rPr>
      </w:pPr>
      <w:bookmarkStart w:id="14" w:name="_Toc53960786"/>
      <w:r w:rsidRPr="00691D2D">
        <w:rPr>
          <w:rFonts w:ascii="Times New Roman" w:hAnsi="Times New Roman" w:cs="Times New Roman"/>
        </w:rPr>
        <w:lastRenderedPageBreak/>
        <w:t>Inclusion criteria</w:t>
      </w:r>
      <w:bookmarkEnd w:id="14"/>
    </w:p>
    <w:p w14:paraId="5781FA1A" w14:textId="481B0283" w:rsidR="00A53502" w:rsidRDefault="00352830">
      <w:pPr>
        <w:spacing w:after="240"/>
        <w:rPr>
          <w:rFonts w:eastAsia="Calibri"/>
        </w:rPr>
      </w:pPr>
      <w:r w:rsidRPr="00F53B4A">
        <w:rPr>
          <w:rFonts w:eastAsia="Calibri"/>
        </w:rPr>
        <w:t>All households with children age 3–59 months who were resident in the survey location during the period of the SMC programme implementation will be eligible for selection.</w:t>
      </w:r>
      <w:r w:rsidR="00AD765D">
        <w:rPr>
          <w:rFonts w:eastAsia="Calibri"/>
        </w:rPr>
        <w:t xml:space="preserve"> </w:t>
      </w:r>
      <w:r w:rsidRPr="00F53B4A">
        <w:rPr>
          <w:rFonts w:eastAsia="Calibri"/>
        </w:rPr>
        <w:t>The survey will adopt the definition of a household as used in the National Malaria Indicator Survey (NMIS)</w:t>
      </w:r>
      <w:r w:rsidR="002D6DC9">
        <w:rPr>
          <w:rFonts w:eastAsia="Calibri"/>
        </w:rPr>
        <w:t>,</w:t>
      </w:r>
      <w:r w:rsidRPr="00F53B4A">
        <w:rPr>
          <w:rFonts w:eastAsia="Calibri"/>
        </w:rPr>
        <w:t xml:space="preserve"> i.e. a person or a group of persons, related or unrelated, who live together, share common cooking and eating arrangements, and recognize one adult member as the head of household.</w:t>
      </w:r>
    </w:p>
    <w:p w14:paraId="3B544005" w14:textId="6A9781FC" w:rsidR="007B2F3A" w:rsidRDefault="007B2F3A">
      <w:pPr>
        <w:spacing w:after="240"/>
        <w:rPr>
          <w:rFonts w:eastAsia="Calibri"/>
        </w:rPr>
      </w:pPr>
      <w:r>
        <w:rPr>
          <w:rFonts w:eastAsia="Calibri"/>
        </w:rPr>
        <w:t>Exclusion criteria</w:t>
      </w:r>
    </w:p>
    <w:p w14:paraId="51627EE1" w14:textId="1A24D4AB" w:rsidR="007B2F3A" w:rsidRPr="00F53B4A" w:rsidRDefault="007B2F3A">
      <w:pPr>
        <w:spacing w:after="240"/>
        <w:rPr>
          <w:rFonts w:eastAsia="Calibri"/>
        </w:rPr>
      </w:pPr>
      <w:r>
        <w:rPr>
          <w:rFonts w:eastAsia="Calibri"/>
        </w:rPr>
        <w:t>Households with caregivers who are too ill to participate in the survey would be excluded.</w:t>
      </w:r>
    </w:p>
    <w:p w14:paraId="3064A8E3" w14:textId="77777777" w:rsidR="00A53502" w:rsidRPr="00F53B4A" w:rsidRDefault="00352830" w:rsidP="00552782">
      <w:pPr>
        <w:pStyle w:val="Heading2"/>
      </w:pPr>
      <w:bookmarkStart w:id="15" w:name="_Toc53960787"/>
      <w:r w:rsidRPr="00552782">
        <w:t>Sample</w:t>
      </w:r>
      <w:r w:rsidRPr="00F53B4A">
        <w:t xml:space="preserve"> size</w:t>
      </w:r>
      <w:bookmarkEnd w:id="15"/>
    </w:p>
    <w:p w14:paraId="20AFE675" w14:textId="4014BA4C" w:rsidR="00A53502" w:rsidRPr="00F53B4A" w:rsidRDefault="00352830">
      <w:pPr>
        <w:spacing w:after="240"/>
        <w:rPr>
          <w:rFonts w:eastAsia="Calibri"/>
        </w:rPr>
      </w:pPr>
      <w:r w:rsidRPr="00F53B4A">
        <w:rPr>
          <w:rFonts w:eastAsia="Calibri"/>
        </w:rPr>
        <w:t xml:space="preserve">Using the </w:t>
      </w:r>
      <w:r w:rsidR="002D74A2">
        <w:rPr>
          <w:rFonts w:eastAsia="Calibri"/>
        </w:rPr>
        <w:t>a</w:t>
      </w:r>
      <w:r w:rsidR="002D74A2" w:rsidRPr="00F53B4A">
        <w:rPr>
          <w:rFonts w:eastAsia="Calibri"/>
        </w:rPr>
        <w:t xml:space="preserve"> </w:t>
      </w:r>
      <w:r w:rsidRPr="00F53B4A">
        <w:rPr>
          <w:rFonts w:eastAsia="Calibri"/>
        </w:rPr>
        <w:t xml:space="preserve">formula for calculating sample size </w:t>
      </w:r>
      <w:r w:rsidR="002D74A2">
        <w:rPr>
          <w:rFonts w:eastAsia="Calibri"/>
        </w:rPr>
        <w:t>for a discrete outcome (Lwanga et al, 1991)</w:t>
      </w:r>
      <w:r w:rsidRPr="00F53B4A">
        <w:rPr>
          <w:rFonts w:eastAsia="Calibri"/>
        </w:rPr>
        <w:t xml:space="preserve"> to estimate an expected coverage of 80% among eligible children with </w:t>
      </w:r>
      <w:r w:rsidR="002D74A2">
        <w:rPr>
          <w:rFonts w:eastAsia="Calibri"/>
        </w:rPr>
        <w:t xml:space="preserve">a </w:t>
      </w:r>
      <w:r w:rsidRPr="00F53B4A">
        <w:rPr>
          <w:rFonts w:eastAsia="Calibri"/>
        </w:rPr>
        <w:t xml:space="preserve">desired precision of ±5%, and </w:t>
      </w:r>
      <w:r w:rsidR="002D74A2">
        <w:rPr>
          <w:rFonts w:eastAsia="Calibri"/>
        </w:rPr>
        <w:t>a standard deviate of 1.96</w:t>
      </w:r>
      <w:r w:rsidRPr="00F53B4A">
        <w:rPr>
          <w:rFonts w:eastAsia="Calibri"/>
        </w:rPr>
        <w:t xml:space="preserve"> at  </w:t>
      </w:r>
      <w:r w:rsidR="002D74A2">
        <w:rPr>
          <w:rFonts w:eastAsia="Calibri"/>
        </w:rPr>
        <w:t xml:space="preserve">the </w:t>
      </w:r>
      <w:r w:rsidRPr="00F53B4A">
        <w:rPr>
          <w:rFonts w:eastAsia="Calibri"/>
        </w:rPr>
        <w:t xml:space="preserve">95% confidence level, a minimum effective sample size (ESS) of 245.862 eligible children is obtained per state. </w:t>
      </w:r>
    </w:p>
    <w:p w14:paraId="78DC9865" w14:textId="763BC721" w:rsidR="001841E9" w:rsidRPr="00F53B4A" w:rsidRDefault="001841E9" w:rsidP="001841E9">
      <w:pPr>
        <w:spacing w:after="240"/>
        <w:rPr>
          <w:rFonts w:eastAsia="Calibri"/>
        </w:rPr>
      </w:pPr>
      <w:r w:rsidRPr="00F53B4A">
        <w:rPr>
          <w:rFonts w:eastAsia="Calibri"/>
        </w:rPr>
        <w:t xml:space="preserve">For the survey, the selected enumeration area constitutes </w:t>
      </w:r>
      <w:r>
        <w:rPr>
          <w:rFonts w:eastAsia="Calibri"/>
        </w:rPr>
        <w:t>a</w:t>
      </w:r>
      <w:r w:rsidRPr="00F53B4A">
        <w:rPr>
          <w:rFonts w:eastAsia="Calibri"/>
        </w:rPr>
        <w:t xml:space="preserve"> cluster. </w:t>
      </w:r>
    </w:p>
    <w:p w14:paraId="1728CFC0" w14:textId="08376B62" w:rsidR="00A53502" w:rsidRPr="00F53B4A" w:rsidRDefault="00FA2B89">
      <w:pPr>
        <w:pBdr>
          <w:top w:val="nil"/>
          <w:left w:val="nil"/>
          <w:bottom w:val="nil"/>
          <w:right w:val="nil"/>
          <w:between w:val="nil"/>
        </w:pBdr>
        <w:rPr>
          <w:rFonts w:eastAsia="Calibri"/>
          <w:color w:val="000000"/>
        </w:rPr>
      </w:pPr>
      <w:r>
        <w:rPr>
          <w:rFonts w:eastAsia="Calibri"/>
          <w:color w:val="000000"/>
        </w:rPr>
        <w:t>To adjust for design effect due to clustering</w:t>
      </w:r>
      <w:r w:rsidR="001841E9">
        <w:rPr>
          <w:rFonts w:eastAsia="Calibri"/>
          <w:color w:val="000000"/>
        </w:rPr>
        <w:t xml:space="preserve"> (Kish, 1965)</w:t>
      </w:r>
      <w:r>
        <w:rPr>
          <w:rFonts w:eastAsia="Calibri"/>
          <w:color w:val="000000"/>
        </w:rPr>
        <w:t xml:space="preserve">, </w:t>
      </w:r>
      <w:r w:rsidRPr="00F53B4A">
        <w:rPr>
          <w:rFonts w:eastAsia="Calibri"/>
          <w:color w:val="000000"/>
        </w:rPr>
        <w:t>a</w:t>
      </w:r>
      <w:r w:rsidR="00352830" w:rsidRPr="00F53B4A">
        <w:rPr>
          <w:rFonts w:eastAsia="Calibri"/>
          <w:color w:val="000000"/>
        </w:rPr>
        <w:t xml:space="preserve">ssuming an intra-cluster correlation (ICC) of 0.2 and </w:t>
      </w:r>
      <w:r>
        <w:rPr>
          <w:rFonts w:eastAsia="Calibri"/>
          <w:color w:val="000000"/>
        </w:rPr>
        <w:t xml:space="preserve">an average </w:t>
      </w:r>
      <w:r w:rsidR="00352830" w:rsidRPr="00F53B4A">
        <w:rPr>
          <w:rFonts w:eastAsia="Calibri"/>
          <w:color w:val="000000"/>
        </w:rPr>
        <w:t>cluster size (</w:t>
      </w:r>
      <w:r>
        <w:rPr>
          <w:rFonts w:eastAsia="Calibri"/>
          <w:color w:val="000000"/>
        </w:rPr>
        <w:t>n</w:t>
      </w:r>
      <w:r w:rsidR="00352830" w:rsidRPr="00F53B4A">
        <w:rPr>
          <w:rFonts w:eastAsia="Calibri"/>
          <w:color w:val="000000"/>
        </w:rPr>
        <w:t>) of 15 eligible children</w:t>
      </w:r>
      <w:r w:rsidR="00A21D03">
        <w:rPr>
          <w:rFonts w:eastAsia="Calibri"/>
          <w:color w:val="000000"/>
        </w:rPr>
        <w:t xml:space="preserve"> (WHO, 2018)</w:t>
      </w:r>
      <w:r w:rsidR="00352830" w:rsidRPr="00F53B4A">
        <w:rPr>
          <w:rFonts w:eastAsia="Calibri"/>
          <w:color w:val="000000"/>
        </w:rPr>
        <w:t>:</w:t>
      </w:r>
    </w:p>
    <w:p w14:paraId="13B6C9E6" w14:textId="360BD863" w:rsidR="00A53502" w:rsidRPr="00F53B4A" w:rsidRDefault="00FA2B89">
      <w:pPr>
        <w:pBdr>
          <w:top w:val="nil"/>
          <w:left w:val="nil"/>
          <w:bottom w:val="nil"/>
          <w:right w:val="nil"/>
          <w:between w:val="nil"/>
        </w:pBdr>
        <w:rPr>
          <w:rFonts w:eastAsia="Calibri"/>
          <w:color w:val="000000"/>
        </w:rPr>
      </w:pPr>
      <w:r w:rsidRPr="00F53B4A">
        <w:rPr>
          <w:rFonts w:eastAsia="Calibri"/>
          <w:color w:val="000000"/>
        </w:rPr>
        <w:t>Design</w:t>
      </w:r>
      <w:r w:rsidR="00352830" w:rsidRPr="00F53B4A">
        <w:rPr>
          <w:rFonts w:eastAsia="Calibri"/>
          <w:color w:val="000000"/>
        </w:rPr>
        <w:t xml:space="preserve">/cluster effect </w:t>
      </w:r>
      <w:r>
        <w:rPr>
          <w:rFonts w:eastAsia="Calibri"/>
          <w:color w:val="000000"/>
        </w:rPr>
        <w:t>is give</w:t>
      </w:r>
      <w:r w:rsidR="00070060">
        <w:rPr>
          <w:rFonts w:eastAsia="Calibri"/>
          <w:color w:val="000000"/>
        </w:rPr>
        <w:t>n</w:t>
      </w:r>
      <w:r>
        <w:rPr>
          <w:rFonts w:eastAsia="Calibri"/>
          <w:color w:val="000000"/>
        </w:rPr>
        <w:t xml:space="preserve"> as </w:t>
      </w:r>
      <w:r w:rsidR="001841E9">
        <w:rPr>
          <w:rFonts w:eastAsia="Calibri"/>
          <w:color w:val="000000"/>
        </w:rPr>
        <w:tab/>
      </w:r>
      <w:r w:rsidR="00352830" w:rsidRPr="00F53B4A">
        <w:rPr>
          <w:rFonts w:eastAsia="Calibri"/>
          <w:color w:val="000000"/>
        </w:rPr>
        <w:t>= 1 + (</w:t>
      </w:r>
      <w:r>
        <w:rPr>
          <w:rFonts w:eastAsia="Calibri"/>
          <w:color w:val="000000"/>
        </w:rPr>
        <w:t>n</w:t>
      </w:r>
      <w:r w:rsidR="00352830" w:rsidRPr="00F53B4A">
        <w:rPr>
          <w:rFonts w:eastAsia="Calibri"/>
          <w:color w:val="000000"/>
        </w:rPr>
        <w:t>-1) * ICC</w:t>
      </w:r>
    </w:p>
    <w:p w14:paraId="666C4B87" w14:textId="7F792DF2" w:rsidR="00A53502" w:rsidRPr="00F53B4A" w:rsidRDefault="00352830" w:rsidP="001841E9">
      <w:pPr>
        <w:pBdr>
          <w:top w:val="nil"/>
          <w:left w:val="nil"/>
          <w:bottom w:val="nil"/>
          <w:right w:val="nil"/>
          <w:between w:val="nil"/>
        </w:pBdr>
        <w:spacing w:after="240"/>
        <w:ind w:left="2160"/>
        <w:rPr>
          <w:rFonts w:eastAsia="Calibri"/>
          <w:color w:val="000000"/>
        </w:rPr>
      </w:pPr>
      <w:r w:rsidRPr="00F53B4A">
        <w:rPr>
          <w:rFonts w:eastAsia="Calibri"/>
          <w:color w:val="000000"/>
        </w:rPr>
        <w:t xml:space="preserve">  </w:t>
      </w:r>
      <w:r w:rsidR="001841E9">
        <w:rPr>
          <w:rFonts w:eastAsia="Calibri"/>
          <w:color w:val="000000"/>
        </w:rPr>
        <w:tab/>
      </w:r>
      <w:r w:rsidR="001841E9">
        <w:rPr>
          <w:rFonts w:eastAsia="Calibri"/>
          <w:color w:val="000000"/>
        </w:rPr>
        <w:tab/>
      </w:r>
      <w:r w:rsidRPr="00F53B4A">
        <w:rPr>
          <w:rFonts w:eastAsia="Calibri"/>
          <w:color w:val="000000"/>
        </w:rPr>
        <w:t>= 1 + (15-1) * 0.2 = 3.8</w:t>
      </w:r>
    </w:p>
    <w:p w14:paraId="12C01ADC" w14:textId="6B8E6B79" w:rsidR="001841E9" w:rsidRDefault="00352830">
      <w:pPr>
        <w:pBdr>
          <w:top w:val="nil"/>
          <w:left w:val="nil"/>
          <w:bottom w:val="nil"/>
          <w:right w:val="nil"/>
          <w:between w:val="nil"/>
        </w:pBdr>
        <w:spacing w:after="240"/>
        <w:rPr>
          <w:rFonts w:eastAsia="Calibri"/>
          <w:color w:val="000000"/>
        </w:rPr>
      </w:pPr>
      <w:r w:rsidRPr="00F53B4A">
        <w:rPr>
          <w:rFonts w:eastAsia="Calibri"/>
          <w:color w:val="000000"/>
        </w:rPr>
        <w:t xml:space="preserve">Multiplying the </w:t>
      </w:r>
      <w:r w:rsidR="001841E9" w:rsidRPr="00F53B4A">
        <w:rPr>
          <w:rFonts w:eastAsia="Calibri"/>
          <w:color w:val="000000"/>
        </w:rPr>
        <w:t xml:space="preserve">Design Effect </w:t>
      </w:r>
      <w:r w:rsidRPr="00F53B4A">
        <w:rPr>
          <w:rFonts w:eastAsia="Calibri"/>
          <w:color w:val="000000"/>
        </w:rPr>
        <w:t xml:space="preserve">by the ESS: </w:t>
      </w:r>
    </w:p>
    <w:p w14:paraId="3525F908" w14:textId="546DC8E0" w:rsidR="00A53502" w:rsidRPr="00F53B4A" w:rsidRDefault="00352830">
      <w:pPr>
        <w:pBdr>
          <w:top w:val="nil"/>
          <w:left w:val="nil"/>
          <w:bottom w:val="nil"/>
          <w:right w:val="nil"/>
          <w:between w:val="nil"/>
        </w:pBdr>
        <w:spacing w:after="240"/>
        <w:rPr>
          <w:rFonts w:eastAsia="Calibri"/>
          <w:color w:val="000000"/>
        </w:rPr>
      </w:pPr>
      <w:r w:rsidRPr="00F53B4A">
        <w:rPr>
          <w:rFonts w:eastAsia="Calibri"/>
          <w:color w:val="000000"/>
        </w:rPr>
        <w:t xml:space="preserve">245.862 *3.8 = 934. 275 </w:t>
      </w:r>
    </w:p>
    <w:p w14:paraId="408B32B6" w14:textId="3A3C9A99" w:rsidR="001841E9" w:rsidRDefault="001841E9">
      <w:pPr>
        <w:spacing w:after="240"/>
        <w:rPr>
          <w:rFonts w:eastAsia="Calibri"/>
        </w:rPr>
      </w:pPr>
      <w:r>
        <w:rPr>
          <w:rFonts w:eastAsia="Calibri"/>
        </w:rPr>
        <w:t>To adjust for non-response, assuming a</w:t>
      </w:r>
      <w:r w:rsidR="00352830" w:rsidRPr="00F53B4A">
        <w:rPr>
          <w:rFonts w:eastAsia="Calibri"/>
        </w:rPr>
        <w:t xml:space="preserve"> 95% response rate: </w:t>
      </w:r>
    </w:p>
    <w:p w14:paraId="0CCF662D" w14:textId="4203AE68" w:rsidR="00A53502" w:rsidRPr="00F53B4A" w:rsidRDefault="00352830">
      <w:pPr>
        <w:spacing w:after="240"/>
        <w:rPr>
          <w:rFonts w:eastAsia="Calibri"/>
        </w:rPr>
      </w:pPr>
      <w:r w:rsidRPr="00F53B4A">
        <w:rPr>
          <w:rFonts w:eastAsia="Calibri"/>
        </w:rPr>
        <w:t>934. 275/0.95 = 983.447</w:t>
      </w:r>
      <w:r w:rsidR="006071A8">
        <w:rPr>
          <w:rFonts w:eastAsia="Calibri"/>
        </w:rPr>
        <w:t xml:space="preserve"> =</w:t>
      </w:r>
      <w:r w:rsidRPr="00F53B4A">
        <w:rPr>
          <w:rFonts w:eastAsia="Calibri"/>
        </w:rPr>
        <w:t xml:space="preserve"> 980</w:t>
      </w:r>
      <w:r w:rsidR="006071A8">
        <w:rPr>
          <w:rFonts w:eastAsia="Calibri"/>
        </w:rPr>
        <w:t xml:space="preserve"> approximately</w:t>
      </w:r>
    </w:p>
    <w:p w14:paraId="0B8F7DA7" w14:textId="2246A8EB" w:rsidR="00A53502" w:rsidRPr="00F53B4A" w:rsidRDefault="00352830">
      <w:pPr>
        <w:spacing w:after="240"/>
        <w:rPr>
          <w:rFonts w:eastAsia="Calibri"/>
        </w:rPr>
      </w:pPr>
      <w:r w:rsidRPr="00F53B4A">
        <w:rPr>
          <w:rFonts w:eastAsia="Calibri"/>
        </w:rPr>
        <w:t xml:space="preserve">For ease of sampling, in each state, a total of 990 </w:t>
      </w:r>
      <w:r w:rsidR="006071A8">
        <w:rPr>
          <w:rFonts w:eastAsia="Calibri"/>
        </w:rPr>
        <w:t xml:space="preserve">matched pairs of caregivers and </w:t>
      </w:r>
      <w:r w:rsidRPr="00F53B4A">
        <w:rPr>
          <w:rFonts w:eastAsia="Calibri"/>
        </w:rPr>
        <w:t xml:space="preserve">children aged 3-59 months will be selected from 990 households </w:t>
      </w:r>
      <w:r w:rsidR="006071A8">
        <w:rPr>
          <w:rFonts w:eastAsia="Calibri"/>
        </w:rPr>
        <w:t xml:space="preserve">(assuming one eligible pair per household) </w:t>
      </w:r>
      <w:r w:rsidRPr="00F53B4A">
        <w:rPr>
          <w:rFonts w:eastAsia="Calibri"/>
        </w:rPr>
        <w:t xml:space="preserve">in 66 clusters. (See </w:t>
      </w:r>
      <w:r w:rsidR="006071A8">
        <w:rPr>
          <w:rFonts w:eastAsia="Calibri"/>
        </w:rPr>
        <w:t>details</w:t>
      </w:r>
      <w:r w:rsidR="006071A8" w:rsidRPr="00F53B4A">
        <w:rPr>
          <w:rFonts w:eastAsia="Calibri"/>
        </w:rPr>
        <w:t xml:space="preserve"> </w:t>
      </w:r>
      <w:r w:rsidRPr="00F53B4A">
        <w:rPr>
          <w:rFonts w:eastAsia="Calibri"/>
        </w:rPr>
        <w:t>in Table 1).</w:t>
      </w:r>
    </w:p>
    <w:p w14:paraId="1AD43714" w14:textId="77777777" w:rsidR="00A53502" w:rsidRPr="00F53B4A" w:rsidRDefault="00352830" w:rsidP="00552782">
      <w:pPr>
        <w:pStyle w:val="Heading2"/>
      </w:pPr>
      <w:bookmarkStart w:id="16" w:name="_Toc53960788"/>
      <w:r w:rsidRPr="00F53B4A">
        <w:lastRenderedPageBreak/>
        <w:t xml:space="preserve">Sampling frame </w:t>
      </w:r>
      <w:r w:rsidRPr="00552782">
        <w:t>and</w:t>
      </w:r>
      <w:r w:rsidRPr="00F53B4A">
        <w:t xml:space="preserve"> sampling design</w:t>
      </w:r>
      <w:bookmarkEnd w:id="16"/>
    </w:p>
    <w:p w14:paraId="5A51B1B6" w14:textId="3A1D78A1" w:rsidR="00A53502" w:rsidRPr="00F53B4A" w:rsidRDefault="00352830">
      <w:pPr>
        <w:spacing w:before="240" w:after="240"/>
        <w:rPr>
          <w:rFonts w:eastAsia="Arial"/>
        </w:rPr>
      </w:pPr>
      <w:r w:rsidRPr="00F53B4A">
        <w:rPr>
          <w:rFonts w:eastAsia="Calibri"/>
        </w:rPr>
        <w:t xml:space="preserve">The sampling frame proposed for the coverage survey is </w:t>
      </w:r>
      <w:r w:rsidR="00A76246">
        <w:rPr>
          <w:rFonts w:eastAsia="Calibri"/>
        </w:rPr>
        <w:t xml:space="preserve">the </w:t>
      </w:r>
      <w:r w:rsidRPr="00F53B4A">
        <w:rPr>
          <w:rFonts w:eastAsia="Calibri"/>
        </w:rPr>
        <w:t>Population and Housing Census of the Federal Republic of Nigeria (NPHC), which was conducted in 2006 by the National Population Commission (NP</w:t>
      </w:r>
      <w:r w:rsidR="000C6A85">
        <w:rPr>
          <w:rFonts w:eastAsia="Calibri"/>
        </w:rPr>
        <w:t>op</w:t>
      </w:r>
      <w:r w:rsidRPr="00F53B4A">
        <w:rPr>
          <w:rFonts w:eastAsia="Calibri"/>
        </w:rPr>
        <w:t xml:space="preserve">C). Administratively, Nigeria is divided into states. Each state is subdivided into LGAs, and each LGA is divided into </w:t>
      </w:r>
      <w:r w:rsidR="000C6A85">
        <w:rPr>
          <w:rFonts w:eastAsia="Calibri"/>
        </w:rPr>
        <w:t>wards</w:t>
      </w:r>
      <w:r w:rsidRPr="00F53B4A">
        <w:rPr>
          <w:rFonts w:eastAsia="Calibri"/>
        </w:rPr>
        <w:t xml:space="preserve">. In addition to these administrative units, during the 2006 NPHC, each locality was subdivided into convenient areas called census enumeration areas (EAs). These EAs are referred to as clusters for the SMC coverage survey and are defined </w:t>
      </w:r>
      <w:r w:rsidR="00552782" w:rsidRPr="00F53B4A">
        <w:rPr>
          <w:rFonts w:eastAsia="Calibri"/>
        </w:rPr>
        <w:t>based on</w:t>
      </w:r>
      <w:r w:rsidRPr="00F53B4A">
        <w:rPr>
          <w:rFonts w:eastAsia="Arial"/>
        </w:rPr>
        <w:t xml:space="preserve"> EAs from the 2006 EA census frame. The survey management team will work with the National Population </w:t>
      </w:r>
      <w:r w:rsidR="00552782" w:rsidRPr="00F53B4A">
        <w:rPr>
          <w:rFonts w:eastAsia="Arial"/>
        </w:rPr>
        <w:t>Commission</w:t>
      </w:r>
      <w:r w:rsidRPr="00F53B4A">
        <w:rPr>
          <w:rFonts w:eastAsia="Arial"/>
        </w:rPr>
        <w:t xml:space="preserve"> (NP</w:t>
      </w:r>
      <w:r w:rsidR="000C6A85">
        <w:rPr>
          <w:rFonts w:eastAsia="Arial"/>
        </w:rPr>
        <w:t>op</w:t>
      </w:r>
      <w:r w:rsidRPr="00F53B4A">
        <w:rPr>
          <w:rFonts w:eastAsia="Arial"/>
        </w:rPr>
        <w:t>C) to obtain a list of EAs and estimated number of households in each EA for the respective survey states.</w:t>
      </w:r>
    </w:p>
    <w:p w14:paraId="0B1B7CD8" w14:textId="4F3C3D4C" w:rsidR="00A53502" w:rsidRPr="00F53B4A" w:rsidRDefault="00352830">
      <w:pPr>
        <w:spacing w:before="240" w:after="240"/>
        <w:rPr>
          <w:rFonts w:eastAsia="Calibri"/>
        </w:rPr>
      </w:pPr>
      <w:r w:rsidRPr="00F53B4A">
        <w:rPr>
          <w:rFonts w:eastAsia="Calibri"/>
        </w:rPr>
        <w:t xml:space="preserve">A </w:t>
      </w:r>
      <w:r w:rsidR="006071A8">
        <w:rPr>
          <w:rFonts w:eastAsia="Calibri"/>
        </w:rPr>
        <w:t>modified cluster</w:t>
      </w:r>
      <w:r w:rsidRPr="00F53B4A">
        <w:rPr>
          <w:rFonts w:eastAsia="Calibri"/>
        </w:rPr>
        <w:t xml:space="preserve"> sampling design will be employed </w:t>
      </w:r>
      <w:r w:rsidR="006071A8">
        <w:rPr>
          <w:rFonts w:eastAsia="Calibri"/>
        </w:rPr>
        <w:t xml:space="preserve">to select 990 caregiver-child pairs in each SMC campaign state </w:t>
      </w:r>
      <w:r w:rsidRPr="00F53B4A">
        <w:rPr>
          <w:rFonts w:eastAsia="Calibri"/>
        </w:rPr>
        <w:t>(Table 1).</w:t>
      </w:r>
      <w:r w:rsidR="00653296">
        <w:rPr>
          <w:rFonts w:eastAsia="Calibri"/>
        </w:rPr>
        <w:t xml:space="preserve"> In 44 LGAs implementing SMC, a</w:t>
      </w:r>
      <w:r w:rsidRPr="00F53B4A">
        <w:rPr>
          <w:rFonts w:eastAsia="Calibri"/>
        </w:rPr>
        <w:t xml:space="preserve">t the first stage, 66 clusters will be randomly selected in each state </w:t>
      </w:r>
      <w:r w:rsidR="006071A8">
        <w:rPr>
          <w:rFonts w:eastAsia="Calibri"/>
        </w:rPr>
        <w:t>by</w:t>
      </w:r>
      <w:r w:rsidR="006071A8" w:rsidRPr="00F53B4A">
        <w:rPr>
          <w:rFonts w:eastAsia="Calibri"/>
        </w:rPr>
        <w:t xml:space="preserve"> </w:t>
      </w:r>
      <w:r w:rsidRPr="00F53B4A">
        <w:rPr>
          <w:rFonts w:eastAsia="Calibri"/>
        </w:rPr>
        <w:t xml:space="preserve">probability proportional-to-cluster size </w:t>
      </w:r>
      <w:r w:rsidR="006071A8">
        <w:rPr>
          <w:rFonts w:eastAsia="Calibri"/>
        </w:rPr>
        <w:t>(PPS)</w:t>
      </w:r>
      <w:r w:rsidRPr="00F53B4A">
        <w:rPr>
          <w:rFonts w:eastAsia="Calibri"/>
        </w:rPr>
        <w:t>. The cluster size refers to the total number of households within an EA. Selected clusters which are security compromised will be replaced by randomly selected</w:t>
      </w:r>
      <w:r w:rsidR="00946D9C">
        <w:rPr>
          <w:rFonts w:eastAsia="Calibri"/>
        </w:rPr>
        <w:t xml:space="preserve"> back-up</w:t>
      </w:r>
      <w:r w:rsidRPr="00F53B4A">
        <w:rPr>
          <w:rFonts w:eastAsia="Calibri"/>
        </w:rPr>
        <w:t xml:space="preserve"> cluster</w:t>
      </w:r>
      <w:r w:rsidR="00946D9C">
        <w:rPr>
          <w:rFonts w:eastAsia="Calibri"/>
        </w:rPr>
        <w:t>s</w:t>
      </w:r>
      <w:r w:rsidRPr="00F53B4A">
        <w:rPr>
          <w:rFonts w:eastAsia="Calibri"/>
        </w:rPr>
        <w:t>.</w:t>
      </w:r>
      <w:r w:rsidR="00641CF3">
        <w:rPr>
          <w:rFonts w:eastAsia="Calibri"/>
        </w:rPr>
        <w:t xml:space="preserve"> Information about security situa</w:t>
      </w:r>
      <w:r w:rsidR="000750AB">
        <w:rPr>
          <w:rFonts w:eastAsia="Calibri"/>
        </w:rPr>
        <w:t>tions in survey areas will be requested from the</w:t>
      </w:r>
      <w:r w:rsidR="00952F55">
        <w:rPr>
          <w:rFonts w:eastAsia="Calibri"/>
        </w:rPr>
        <w:t xml:space="preserve"> </w:t>
      </w:r>
      <w:r w:rsidR="007A6E91">
        <w:rPr>
          <w:rFonts w:eastAsia="Calibri"/>
        </w:rPr>
        <w:t>appropriate</w:t>
      </w:r>
      <w:r w:rsidR="00952F55">
        <w:rPr>
          <w:rFonts w:eastAsia="Calibri"/>
        </w:rPr>
        <w:t xml:space="preserve"> </w:t>
      </w:r>
      <w:r w:rsidR="00170788">
        <w:rPr>
          <w:rFonts w:eastAsia="Calibri"/>
        </w:rPr>
        <w:t>authorities</w:t>
      </w:r>
      <w:r w:rsidR="00F845EB">
        <w:rPr>
          <w:rFonts w:eastAsia="Calibri"/>
        </w:rPr>
        <w:t xml:space="preserve"> prior to </w:t>
      </w:r>
      <w:r w:rsidR="007961EC">
        <w:rPr>
          <w:rFonts w:eastAsia="Calibri"/>
        </w:rPr>
        <w:t>selection.</w:t>
      </w:r>
      <w:r w:rsidRPr="00F53B4A">
        <w:rPr>
          <w:rFonts w:eastAsia="Calibri"/>
        </w:rPr>
        <w:t xml:space="preserve">. At the second stage, 15 eligible households will be selected from each selected cluster using a simple random sampling method. This stage will be preceded by a household listing of all eligible households, to generate a household sampling frame. A mapping update of the clusters will also be conducted to ensure that new changes to the existing map are reflected since the last population census was held. </w:t>
      </w:r>
    </w:p>
    <w:p w14:paraId="38912942" w14:textId="77777777" w:rsidR="00A53502" w:rsidRPr="00F53B4A" w:rsidRDefault="00352830">
      <w:pPr>
        <w:spacing w:after="240"/>
        <w:rPr>
          <w:rFonts w:eastAsia="Calibri"/>
        </w:rPr>
      </w:pPr>
      <w:r w:rsidRPr="00F53B4A">
        <w:rPr>
          <w:rFonts w:eastAsia="Calibri"/>
        </w:rPr>
        <w:t>There will be two sets of respondents for the survey</w:t>
      </w:r>
      <w:r w:rsidR="00530D0E">
        <w:rPr>
          <w:rFonts w:eastAsia="Calibri"/>
        </w:rPr>
        <w:t xml:space="preserve"> with different questionnaires</w:t>
      </w:r>
      <w:r w:rsidRPr="00F53B4A">
        <w:rPr>
          <w:rFonts w:eastAsia="Calibri"/>
        </w:rPr>
        <w:t xml:space="preserve">: primary caregivers of children under the age of five and heads of households. </w:t>
      </w:r>
      <w:r w:rsidR="00530D0E">
        <w:rPr>
          <w:rFonts w:eastAsia="Calibri"/>
        </w:rPr>
        <w:t>In the absence of the head of household, the primary caregiver will respond</w:t>
      </w:r>
      <w:r w:rsidR="00F83D9E">
        <w:rPr>
          <w:rFonts w:eastAsia="Calibri"/>
        </w:rPr>
        <w:t xml:space="preserve"> to</w:t>
      </w:r>
      <w:r w:rsidR="00530D0E">
        <w:rPr>
          <w:rFonts w:eastAsia="Calibri"/>
        </w:rPr>
        <w:t xml:space="preserve"> the head of household</w:t>
      </w:r>
      <w:r w:rsidR="00C45369">
        <w:rPr>
          <w:rFonts w:eastAsia="Calibri"/>
        </w:rPr>
        <w:t>’s</w:t>
      </w:r>
      <w:r w:rsidR="00530D0E">
        <w:rPr>
          <w:rFonts w:eastAsia="Calibri"/>
        </w:rPr>
        <w:t xml:space="preserve"> questions as much as </w:t>
      </w:r>
      <w:r w:rsidR="00F83D9E">
        <w:rPr>
          <w:rFonts w:eastAsia="Calibri"/>
        </w:rPr>
        <w:t xml:space="preserve">possible. </w:t>
      </w:r>
      <w:r w:rsidRPr="00F53B4A">
        <w:rPr>
          <w:rFonts w:eastAsia="Calibri"/>
        </w:rPr>
        <w:t xml:space="preserve">A primary caregiver in this survey refers to any individual, aged 15 years or over, with the primary responsibility for the feeding and daily care of at least one child under the age of five, in a household where he or she has been resident prior to the start of the SMC programme or one month before the last cycle of the treatment. We defined a household head as a member of the family who manages the resources and is the final decision maker in the household. </w:t>
      </w:r>
    </w:p>
    <w:p w14:paraId="33E8AB0F" w14:textId="77777777" w:rsidR="00A53502" w:rsidRPr="00F53B4A" w:rsidRDefault="00352830">
      <w:pPr>
        <w:spacing w:after="240"/>
        <w:rPr>
          <w:rFonts w:eastAsia="Calibri"/>
          <w:b/>
        </w:rPr>
      </w:pPr>
      <w:r w:rsidRPr="00F53B4A">
        <w:rPr>
          <w:rFonts w:eastAsia="Calibri"/>
          <w:b/>
        </w:rPr>
        <w:lastRenderedPageBreak/>
        <w:t xml:space="preserve">Table 1: Example of Sampling Scheme </w:t>
      </w:r>
      <w:r w:rsidR="00552782" w:rsidRPr="00F53B4A">
        <w:rPr>
          <w:rFonts w:eastAsia="Calibri"/>
          <w:b/>
        </w:rPr>
        <w:t>for SMC</w:t>
      </w:r>
      <w:r w:rsidRPr="00F53B4A">
        <w:rPr>
          <w:rFonts w:eastAsia="Calibri"/>
          <w:b/>
        </w:rPr>
        <w:t xml:space="preserve"> Coverage Survey in Kano State</w:t>
      </w:r>
    </w:p>
    <w:tbl>
      <w:tblPr>
        <w:tblStyle w:val="a"/>
        <w:tblW w:w="9340" w:type="dxa"/>
        <w:tblLayout w:type="fixed"/>
        <w:tblLook w:val="0600" w:firstRow="0" w:lastRow="0" w:firstColumn="0" w:lastColumn="0" w:noHBand="1" w:noVBand="1"/>
      </w:tblPr>
      <w:tblGrid>
        <w:gridCol w:w="6779"/>
        <w:gridCol w:w="2561"/>
      </w:tblGrid>
      <w:tr w:rsidR="00A53502" w:rsidRPr="00F53B4A" w14:paraId="4E82BCC9" w14:textId="77777777">
        <w:trPr>
          <w:trHeight w:val="950"/>
        </w:trPr>
        <w:tc>
          <w:tcPr>
            <w:tcW w:w="6779"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7FF72F5E" w14:textId="77777777" w:rsidR="00A53502" w:rsidRPr="00F53B4A" w:rsidRDefault="00352830">
            <w:pPr>
              <w:spacing w:line="240" w:lineRule="auto"/>
              <w:jc w:val="left"/>
              <w:rPr>
                <w:rFonts w:eastAsia="Calibri"/>
                <w:b/>
                <w:color w:val="000000"/>
              </w:rPr>
            </w:pPr>
            <w:r w:rsidRPr="00F53B4A">
              <w:rPr>
                <w:rFonts w:eastAsia="Calibri"/>
                <w:b/>
                <w:color w:val="000000"/>
              </w:rPr>
              <w:t> Sampling stages</w:t>
            </w:r>
          </w:p>
        </w:tc>
        <w:tc>
          <w:tcPr>
            <w:tcW w:w="2561" w:type="dxa"/>
            <w:tcBorders>
              <w:top w:val="single" w:sz="8" w:space="0" w:color="000000"/>
              <w:left w:val="nil"/>
              <w:right w:val="single" w:sz="8" w:space="0" w:color="000000"/>
            </w:tcBorders>
            <w:shd w:val="clear" w:color="auto" w:fill="92D050"/>
            <w:vAlign w:val="center"/>
          </w:tcPr>
          <w:p w14:paraId="48E12FF2" w14:textId="77777777" w:rsidR="00A53502" w:rsidRPr="00F53B4A" w:rsidRDefault="00352830">
            <w:pPr>
              <w:spacing w:line="240" w:lineRule="auto"/>
              <w:jc w:val="left"/>
              <w:rPr>
                <w:rFonts w:eastAsia="Calibri"/>
                <w:b/>
                <w:color w:val="000000"/>
              </w:rPr>
            </w:pPr>
            <w:r w:rsidRPr="00F53B4A">
              <w:rPr>
                <w:rFonts w:eastAsia="Calibri"/>
                <w:b/>
                <w:color w:val="000000"/>
              </w:rPr>
              <w:t>Kano</w:t>
            </w:r>
          </w:p>
          <w:p w14:paraId="01F92811" w14:textId="77777777" w:rsidR="00A53502" w:rsidRPr="00F53B4A" w:rsidRDefault="00A53502">
            <w:pPr>
              <w:spacing w:line="240" w:lineRule="auto"/>
              <w:rPr>
                <w:rFonts w:eastAsia="Calibri"/>
                <w:b/>
                <w:color w:val="000000"/>
              </w:rPr>
            </w:pPr>
          </w:p>
        </w:tc>
      </w:tr>
      <w:tr w:rsidR="00A53502" w:rsidRPr="00F53B4A" w14:paraId="1293A4C3" w14:textId="77777777">
        <w:trPr>
          <w:trHeight w:val="754"/>
        </w:trPr>
        <w:tc>
          <w:tcPr>
            <w:tcW w:w="6779" w:type="dxa"/>
            <w:tcBorders>
              <w:top w:val="nil"/>
              <w:left w:val="single" w:sz="8" w:space="0" w:color="000000"/>
              <w:bottom w:val="single" w:sz="8" w:space="0" w:color="000000"/>
              <w:right w:val="single" w:sz="8" w:space="0" w:color="000000"/>
            </w:tcBorders>
            <w:shd w:val="clear" w:color="auto" w:fill="FFC000"/>
            <w:vAlign w:val="center"/>
          </w:tcPr>
          <w:p w14:paraId="08915619" w14:textId="77777777" w:rsidR="00A53502" w:rsidRPr="00F53B4A" w:rsidRDefault="00352830">
            <w:pPr>
              <w:spacing w:line="240" w:lineRule="auto"/>
              <w:jc w:val="left"/>
              <w:rPr>
                <w:rFonts w:eastAsia="Calibri"/>
                <w:b/>
                <w:color w:val="000000"/>
              </w:rPr>
            </w:pPr>
            <w:r w:rsidRPr="00F53B4A">
              <w:rPr>
                <w:rFonts w:eastAsia="Calibri"/>
                <w:b/>
                <w:color w:val="000000"/>
              </w:rPr>
              <w:t>No. of LGAs implementing SMC</w:t>
            </w:r>
          </w:p>
        </w:tc>
        <w:tc>
          <w:tcPr>
            <w:tcW w:w="2561" w:type="dxa"/>
            <w:tcBorders>
              <w:top w:val="nil"/>
              <w:left w:val="nil"/>
              <w:bottom w:val="single" w:sz="8" w:space="0" w:color="000000"/>
              <w:right w:val="single" w:sz="8" w:space="0" w:color="000000"/>
            </w:tcBorders>
            <w:shd w:val="clear" w:color="auto" w:fill="auto"/>
            <w:vAlign w:val="center"/>
          </w:tcPr>
          <w:p w14:paraId="4AA0B6DA" w14:textId="77777777" w:rsidR="00A53502" w:rsidRPr="00F53B4A" w:rsidRDefault="00352830">
            <w:pPr>
              <w:spacing w:line="240" w:lineRule="auto"/>
              <w:jc w:val="right"/>
              <w:rPr>
                <w:rFonts w:eastAsia="Calibri"/>
                <w:color w:val="000000"/>
              </w:rPr>
            </w:pPr>
            <w:r w:rsidRPr="00F53B4A">
              <w:rPr>
                <w:rFonts w:eastAsia="Calibri"/>
                <w:color w:val="000000"/>
              </w:rPr>
              <w:t>44</w:t>
            </w:r>
          </w:p>
        </w:tc>
      </w:tr>
      <w:tr w:rsidR="00A53502" w:rsidRPr="00F53B4A" w14:paraId="22B4A771" w14:textId="77777777">
        <w:trPr>
          <w:trHeight w:val="902"/>
        </w:trPr>
        <w:tc>
          <w:tcPr>
            <w:tcW w:w="6779" w:type="dxa"/>
            <w:tcBorders>
              <w:top w:val="nil"/>
              <w:left w:val="single" w:sz="8" w:space="0" w:color="000000"/>
              <w:bottom w:val="single" w:sz="8" w:space="0" w:color="000000"/>
              <w:right w:val="single" w:sz="8" w:space="0" w:color="000000"/>
            </w:tcBorders>
            <w:shd w:val="clear" w:color="auto" w:fill="FFC000"/>
            <w:vAlign w:val="center"/>
          </w:tcPr>
          <w:p w14:paraId="45247EF8" w14:textId="77777777" w:rsidR="00A53502" w:rsidRPr="00F53B4A" w:rsidRDefault="00352830">
            <w:pPr>
              <w:spacing w:line="240" w:lineRule="auto"/>
              <w:jc w:val="left"/>
              <w:rPr>
                <w:rFonts w:eastAsia="Calibri"/>
                <w:b/>
                <w:color w:val="000000"/>
              </w:rPr>
            </w:pPr>
            <w:r w:rsidRPr="00F53B4A">
              <w:rPr>
                <w:rFonts w:eastAsia="Calibri"/>
                <w:b/>
              </w:rPr>
              <w:t xml:space="preserve">Clusters </w:t>
            </w:r>
            <w:r w:rsidRPr="00F53B4A">
              <w:rPr>
                <w:rFonts w:eastAsia="Calibri"/>
                <w:b/>
                <w:color w:val="000000"/>
              </w:rPr>
              <w:t>selected (A)</w:t>
            </w:r>
          </w:p>
        </w:tc>
        <w:tc>
          <w:tcPr>
            <w:tcW w:w="2561" w:type="dxa"/>
            <w:tcBorders>
              <w:top w:val="nil"/>
              <w:left w:val="nil"/>
              <w:bottom w:val="single" w:sz="8" w:space="0" w:color="000000"/>
              <w:right w:val="single" w:sz="8" w:space="0" w:color="000000"/>
            </w:tcBorders>
            <w:shd w:val="clear" w:color="auto" w:fill="auto"/>
            <w:vAlign w:val="center"/>
          </w:tcPr>
          <w:p w14:paraId="2427B76D" w14:textId="77777777" w:rsidR="00A53502" w:rsidRPr="00F53B4A" w:rsidRDefault="00352830">
            <w:pPr>
              <w:spacing w:line="240" w:lineRule="auto"/>
              <w:jc w:val="right"/>
              <w:rPr>
                <w:rFonts w:eastAsia="Calibri"/>
                <w:color w:val="000000"/>
              </w:rPr>
            </w:pPr>
            <w:r w:rsidRPr="00F53B4A">
              <w:rPr>
                <w:rFonts w:eastAsia="Calibri"/>
              </w:rPr>
              <w:t>66</w:t>
            </w:r>
          </w:p>
        </w:tc>
      </w:tr>
      <w:tr w:rsidR="00A53502" w:rsidRPr="00F53B4A" w14:paraId="5F3F87AD" w14:textId="77777777">
        <w:trPr>
          <w:trHeight w:val="1033"/>
        </w:trPr>
        <w:tc>
          <w:tcPr>
            <w:tcW w:w="6779" w:type="dxa"/>
            <w:tcBorders>
              <w:top w:val="nil"/>
              <w:left w:val="single" w:sz="8" w:space="0" w:color="000000"/>
              <w:bottom w:val="single" w:sz="8" w:space="0" w:color="000000"/>
              <w:right w:val="single" w:sz="8" w:space="0" w:color="000000"/>
            </w:tcBorders>
            <w:shd w:val="clear" w:color="auto" w:fill="FFC000"/>
            <w:vAlign w:val="center"/>
          </w:tcPr>
          <w:p w14:paraId="07886189" w14:textId="77777777" w:rsidR="00A53502" w:rsidRPr="00F53B4A" w:rsidRDefault="00352830">
            <w:pPr>
              <w:spacing w:line="240" w:lineRule="auto"/>
              <w:jc w:val="left"/>
              <w:rPr>
                <w:rFonts w:eastAsia="Calibri"/>
                <w:b/>
                <w:color w:val="000000"/>
              </w:rPr>
            </w:pPr>
            <w:r w:rsidRPr="00F53B4A">
              <w:rPr>
                <w:rFonts w:eastAsia="Calibri"/>
                <w:b/>
              </w:rPr>
              <w:t xml:space="preserve">Households </w:t>
            </w:r>
            <w:r w:rsidRPr="00F53B4A">
              <w:rPr>
                <w:rFonts w:eastAsia="Calibri"/>
                <w:b/>
                <w:color w:val="000000"/>
              </w:rPr>
              <w:t>selected per</w:t>
            </w:r>
            <w:r w:rsidRPr="00F53B4A">
              <w:rPr>
                <w:rFonts w:eastAsia="Calibri"/>
                <w:b/>
              </w:rPr>
              <w:t xml:space="preserve"> cluster </w:t>
            </w:r>
            <w:r w:rsidRPr="00F53B4A">
              <w:rPr>
                <w:rFonts w:eastAsia="Calibri"/>
                <w:b/>
                <w:color w:val="000000"/>
              </w:rPr>
              <w:t>(</w:t>
            </w:r>
            <w:r w:rsidRPr="00F53B4A">
              <w:rPr>
                <w:rFonts w:eastAsia="Calibri"/>
                <w:b/>
              </w:rPr>
              <w:t>B</w:t>
            </w:r>
            <w:r w:rsidRPr="00F53B4A">
              <w:rPr>
                <w:rFonts w:eastAsia="Calibri"/>
                <w:b/>
                <w:color w:val="000000"/>
              </w:rPr>
              <w:t>)</w:t>
            </w:r>
          </w:p>
        </w:tc>
        <w:tc>
          <w:tcPr>
            <w:tcW w:w="2561" w:type="dxa"/>
            <w:tcBorders>
              <w:top w:val="nil"/>
              <w:left w:val="nil"/>
              <w:bottom w:val="single" w:sz="8" w:space="0" w:color="000000"/>
              <w:right w:val="single" w:sz="8" w:space="0" w:color="000000"/>
            </w:tcBorders>
            <w:shd w:val="clear" w:color="auto" w:fill="auto"/>
            <w:vAlign w:val="center"/>
          </w:tcPr>
          <w:p w14:paraId="16128330" w14:textId="77777777" w:rsidR="00A53502" w:rsidRPr="00F53B4A" w:rsidRDefault="00352830">
            <w:pPr>
              <w:spacing w:line="240" w:lineRule="auto"/>
              <w:jc w:val="right"/>
              <w:rPr>
                <w:rFonts w:eastAsia="Calibri"/>
                <w:color w:val="000000"/>
              </w:rPr>
            </w:pPr>
            <w:r w:rsidRPr="00F53B4A">
              <w:rPr>
                <w:rFonts w:eastAsia="Calibri"/>
              </w:rPr>
              <w:t>15</w:t>
            </w:r>
          </w:p>
        </w:tc>
      </w:tr>
      <w:tr w:rsidR="00A53502" w:rsidRPr="00F53B4A" w14:paraId="60E7B3AB" w14:textId="77777777">
        <w:trPr>
          <w:trHeight w:val="40"/>
        </w:trPr>
        <w:tc>
          <w:tcPr>
            <w:tcW w:w="6779" w:type="dxa"/>
            <w:tcBorders>
              <w:top w:val="nil"/>
              <w:left w:val="single" w:sz="8" w:space="0" w:color="000000"/>
              <w:bottom w:val="single" w:sz="8" w:space="0" w:color="000000"/>
              <w:right w:val="single" w:sz="8" w:space="0" w:color="000000"/>
            </w:tcBorders>
            <w:shd w:val="clear" w:color="auto" w:fill="FFC000"/>
            <w:vAlign w:val="center"/>
          </w:tcPr>
          <w:p w14:paraId="2344DD61" w14:textId="77777777" w:rsidR="00A53502" w:rsidRPr="00F53B4A" w:rsidRDefault="00352830">
            <w:pPr>
              <w:spacing w:line="240" w:lineRule="auto"/>
              <w:jc w:val="left"/>
              <w:rPr>
                <w:rFonts w:eastAsia="Calibri"/>
                <w:b/>
                <w:color w:val="000000"/>
              </w:rPr>
            </w:pPr>
            <w:r w:rsidRPr="00F53B4A">
              <w:rPr>
                <w:rFonts w:eastAsia="Calibri"/>
                <w:b/>
                <w:color w:val="000000"/>
              </w:rPr>
              <w:t xml:space="preserve">Sample size </w:t>
            </w:r>
          </w:p>
          <w:p w14:paraId="23ED8A70" w14:textId="77777777" w:rsidR="00A53502" w:rsidRPr="00F53B4A" w:rsidRDefault="00352830">
            <w:pPr>
              <w:spacing w:line="240" w:lineRule="auto"/>
              <w:jc w:val="left"/>
              <w:rPr>
                <w:rFonts w:eastAsia="Calibri"/>
                <w:b/>
                <w:color w:val="000000"/>
              </w:rPr>
            </w:pPr>
            <w:r w:rsidRPr="00F53B4A">
              <w:rPr>
                <w:rFonts w:eastAsia="Calibri"/>
                <w:b/>
                <w:color w:val="000000"/>
              </w:rPr>
              <w:t>(@ 1/</w:t>
            </w:r>
            <w:r w:rsidRPr="00F53B4A">
              <w:rPr>
                <w:rFonts w:eastAsia="Calibri"/>
                <w:b/>
              </w:rPr>
              <w:t>household</w:t>
            </w:r>
            <w:r w:rsidRPr="00F53B4A">
              <w:rPr>
                <w:rFonts w:eastAsia="Calibri"/>
                <w:b/>
                <w:color w:val="000000"/>
              </w:rPr>
              <w:t>) (A*B)</w:t>
            </w:r>
          </w:p>
        </w:tc>
        <w:tc>
          <w:tcPr>
            <w:tcW w:w="2561" w:type="dxa"/>
            <w:tcBorders>
              <w:top w:val="nil"/>
              <w:left w:val="nil"/>
              <w:bottom w:val="single" w:sz="8" w:space="0" w:color="000000"/>
              <w:right w:val="single" w:sz="8" w:space="0" w:color="000000"/>
            </w:tcBorders>
            <w:shd w:val="clear" w:color="auto" w:fill="92D050"/>
            <w:vAlign w:val="center"/>
          </w:tcPr>
          <w:p w14:paraId="6AE4A701" w14:textId="77777777" w:rsidR="00A53502" w:rsidRPr="00F53B4A" w:rsidRDefault="00352830">
            <w:pPr>
              <w:spacing w:line="240" w:lineRule="auto"/>
              <w:jc w:val="right"/>
              <w:rPr>
                <w:rFonts w:eastAsia="Calibri"/>
                <w:b/>
                <w:color w:val="000000"/>
              </w:rPr>
            </w:pPr>
            <w:r w:rsidRPr="00F53B4A">
              <w:rPr>
                <w:rFonts w:eastAsia="Calibri"/>
                <w:b/>
                <w:color w:val="000000"/>
              </w:rPr>
              <w:t>990</w:t>
            </w:r>
          </w:p>
        </w:tc>
      </w:tr>
    </w:tbl>
    <w:p w14:paraId="33E48CF3" w14:textId="77777777" w:rsidR="00A53502" w:rsidRPr="00F53B4A" w:rsidRDefault="00A53502" w:rsidP="00691D2D"/>
    <w:p w14:paraId="62001A58" w14:textId="77777777" w:rsidR="00A53502" w:rsidRPr="00F53B4A" w:rsidRDefault="00352830" w:rsidP="00552782">
      <w:pPr>
        <w:pStyle w:val="Heading1"/>
      </w:pPr>
      <w:bookmarkStart w:id="17" w:name="_30js1briyfim" w:colFirst="0" w:colLast="0"/>
      <w:bookmarkStart w:id="18" w:name="_Toc53960789"/>
      <w:bookmarkEnd w:id="17"/>
      <w:r w:rsidRPr="00F53B4A">
        <w:t xml:space="preserve">DATA </w:t>
      </w:r>
      <w:r w:rsidRPr="00552782">
        <w:t>COLLECTION</w:t>
      </w:r>
      <w:bookmarkEnd w:id="18"/>
    </w:p>
    <w:p w14:paraId="38FF9A87" w14:textId="712B2AD4" w:rsidR="00A53502" w:rsidRPr="00F53B4A" w:rsidRDefault="00352830" w:rsidP="00552782">
      <w:pPr>
        <w:pStyle w:val="Heading2"/>
      </w:pPr>
      <w:bookmarkStart w:id="19" w:name="_Toc53960790"/>
      <w:r w:rsidRPr="00F53B4A">
        <w:t xml:space="preserve">Survey Tools </w:t>
      </w:r>
      <w:bookmarkEnd w:id="19"/>
    </w:p>
    <w:p w14:paraId="40D810D9" w14:textId="4C15810F" w:rsidR="00A53502" w:rsidRPr="00F53B4A" w:rsidRDefault="00352830">
      <w:pPr>
        <w:spacing w:after="240"/>
        <w:rPr>
          <w:rFonts w:eastAsia="Calibri"/>
        </w:rPr>
      </w:pPr>
      <w:r w:rsidRPr="00F53B4A">
        <w:rPr>
          <w:rFonts w:eastAsia="Calibri"/>
        </w:rPr>
        <w:t>A structured survey questionnaire will be administered to the caregiver</w:t>
      </w:r>
      <w:r w:rsidR="00C45369">
        <w:rPr>
          <w:rFonts w:eastAsia="Calibri"/>
        </w:rPr>
        <w:t xml:space="preserve"> and head of household</w:t>
      </w:r>
      <w:r w:rsidRPr="00F53B4A">
        <w:rPr>
          <w:rFonts w:eastAsia="Calibri"/>
        </w:rPr>
        <w:t xml:space="preserve"> using the handheld electronic data collection devices, via a digital online data collection app. This approach will minimize errors in data collection and entry. It will also help in collecting Geographical Positioning System (GPS) information which will serve as part of the quality assurance and provide spatial data for geo-referencing of findings. The questionnaire is designed to be administered to households as the epidemiological unit. The questionnaire is composed of questions related to the selected household and eligible child’s demographics; quality of SMC administration; fidelity to the SMC protocol by </w:t>
      </w:r>
      <w:r w:rsidR="006C56CA">
        <w:rPr>
          <w:rFonts w:eastAsia="Calibri"/>
        </w:rPr>
        <w:t>CDs</w:t>
      </w:r>
      <w:r w:rsidRPr="00F53B4A">
        <w:rPr>
          <w:rFonts w:eastAsia="Calibri"/>
        </w:rPr>
        <w:t>; knowledge</w:t>
      </w:r>
      <w:r w:rsidR="00C45369">
        <w:rPr>
          <w:rFonts w:eastAsia="Calibri"/>
        </w:rPr>
        <w:t>, attitude and perceptions related to</w:t>
      </w:r>
      <w:r w:rsidRPr="00F53B4A">
        <w:rPr>
          <w:rFonts w:eastAsia="Calibri"/>
        </w:rPr>
        <w:t xml:space="preserve"> SMC</w:t>
      </w:r>
      <w:r w:rsidR="00C45369">
        <w:rPr>
          <w:rFonts w:eastAsia="Calibri"/>
        </w:rPr>
        <w:t xml:space="preserve"> as well as knowledge of</w:t>
      </w:r>
      <w:r w:rsidRPr="00F53B4A">
        <w:rPr>
          <w:rFonts w:eastAsia="Calibri"/>
        </w:rPr>
        <w:t xml:space="preserve"> COVID-19 (including prevention) among caregivers;</w:t>
      </w:r>
      <w:r w:rsidR="00653296">
        <w:rPr>
          <w:rFonts w:eastAsia="Calibri"/>
        </w:rPr>
        <w:t xml:space="preserve"> </w:t>
      </w:r>
      <w:r w:rsidRPr="00F53B4A">
        <w:rPr>
          <w:rFonts w:eastAsia="Calibri"/>
        </w:rPr>
        <w:t xml:space="preserve">practice of </w:t>
      </w:r>
      <w:r w:rsidR="006C56CA">
        <w:rPr>
          <w:rFonts w:eastAsia="Calibri"/>
        </w:rPr>
        <w:t>CDs</w:t>
      </w:r>
      <w:r w:rsidRPr="00F53B4A">
        <w:rPr>
          <w:rFonts w:eastAsia="Calibri"/>
        </w:rPr>
        <w:t xml:space="preserve"> in relation to COVID-19 infection control measures. Another set of questions will be asked from the caregiver of a randomly selected child whose age is between 5 and 10 years to measure the proportion of children within the age range who received SMC. </w:t>
      </w:r>
    </w:p>
    <w:p w14:paraId="3C0B2C93" w14:textId="77777777" w:rsidR="00A53502" w:rsidRPr="00F53B4A" w:rsidRDefault="00352830">
      <w:pPr>
        <w:spacing w:after="240"/>
        <w:rPr>
          <w:rFonts w:eastAsia="Calibri"/>
        </w:rPr>
      </w:pPr>
      <w:r w:rsidRPr="00F53B4A">
        <w:rPr>
          <w:rFonts w:eastAsia="Calibri"/>
        </w:rPr>
        <w:t xml:space="preserve">The questionnaires will be administered to caregivers of eligible children by independent research assistants trained on the use of the tool. The data tools will be pretested and piloted in non- survey clusters within the state. This will be done to determine: </w:t>
      </w:r>
    </w:p>
    <w:p w14:paraId="13B9D1C8" w14:textId="77777777" w:rsidR="00A53502" w:rsidRPr="00F53B4A" w:rsidRDefault="00352830">
      <w:pPr>
        <w:numPr>
          <w:ilvl w:val="0"/>
          <w:numId w:val="27"/>
        </w:numPr>
        <w:pBdr>
          <w:top w:val="nil"/>
          <w:left w:val="nil"/>
          <w:bottom w:val="nil"/>
          <w:right w:val="nil"/>
          <w:between w:val="nil"/>
        </w:pBdr>
        <w:rPr>
          <w:color w:val="000000"/>
        </w:rPr>
      </w:pPr>
      <w:r w:rsidRPr="00F53B4A">
        <w:rPr>
          <w:rFonts w:eastAsia="Calibri"/>
          <w:color w:val="000000"/>
        </w:rPr>
        <w:lastRenderedPageBreak/>
        <w:t xml:space="preserve">Reaction of the respondents to the research procedure </w:t>
      </w:r>
    </w:p>
    <w:p w14:paraId="5AB198FB" w14:textId="77777777" w:rsidR="00A53502" w:rsidRPr="00F53B4A" w:rsidRDefault="00352830">
      <w:pPr>
        <w:numPr>
          <w:ilvl w:val="0"/>
          <w:numId w:val="27"/>
        </w:numPr>
        <w:pBdr>
          <w:top w:val="nil"/>
          <w:left w:val="nil"/>
          <w:bottom w:val="nil"/>
          <w:right w:val="nil"/>
          <w:between w:val="nil"/>
        </w:pBdr>
        <w:rPr>
          <w:color w:val="000000"/>
        </w:rPr>
      </w:pPr>
      <w:r w:rsidRPr="00F53B4A">
        <w:rPr>
          <w:rFonts w:eastAsia="Calibri"/>
          <w:color w:val="000000"/>
        </w:rPr>
        <w:t xml:space="preserve">Acceptability of the questions asked </w:t>
      </w:r>
    </w:p>
    <w:p w14:paraId="6A46BF48" w14:textId="77777777" w:rsidR="00A53502" w:rsidRPr="00F53B4A" w:rsidRDefault="00352830">
      <w:pPr>
        <w:numPr>
          <w:ilvl w:val="0"/>
          <w:numId w:val="27"/>
        </w:numPr>
        <w:pBdr>
          <w:top w:val="nil"/>
          <w:left w:val="nil"/>
          <w:bottom w:val="nil"/>
          <w:right w:val="nil"/>
          <w:between w:val="nil"/>
        </w:pBdr>
        <w:rPr>
          <w:color w:val="000000"/>
        </w:rPr>
      </w:pPr>
      <w:r w:rsidRPr="00F53B4A">
        <w:rPr>
          <w:rFonts w:eastAsia="Calibri"/>
          <w:color w:val="000000"/>
        </w:rPr>
        <w:t xml:space="preserve">Willingness of the respondents to answer and participate in the survey </w:t>
      </w:r>
    </w:p>
    <w:p w14:paraId="37250ECA" w14:textId="77777777" w:rsidR="00A53502" w:rsidRPr="00F53B4A" w:rsidRDefault="00352830">
      <w:pPr>
        <w:numPr>
          <w:ilvl w:val="0"/>
          <w:numId w:val="27"/>
        </w:numPr>
        <w:pBdr>
          <w:top w:val="nil"/>
          <w:left w:val="nil"/>
          <w:bottom w:val="nil"/>
          <w:right w:val="nil"/>
          <w:between w:val="nil"/>
        </w:pBdr>
        <w:rPr>
          <w:color w:val="000000"/>
        </w:rPr>
      </w:pPr>
      <w:r w:rsidRPr="00F53B4A">
        <w:rPr>
          <w:rFonts w:eastAsia="Calibri"/>
          <w:color w:val="000000"/>
        </w:rPr>
        <w:t xml:space="preserve">Validity and reliability of the questionnaire </w:t>
      </w:r>
    </w:p>
    <w:p w14:paraId="23B528DC" w14:textId="77777777" w:rsidR="00A53502" w:rsidRPr="00F53B4A" w:rsidRDefault="00352830">
      <w:pPr>
        <w:numPr>
          <w:ilvl w:val="0"/>
          <w:numId w:val="27"/>
        </w:numPr>
        <w:pBdr>
          <w:top w:val="nil"/>
          <w:left w:val="nil"/>
          <w:bottom w:val="nil"/>
          <w:right w:val="nil"/>
          <w:between w:val="nil"/>
        </w:pBdr>
        <w:rPr>
          <w:color w:val="000000"/>
        </w:rPr>
      </w:pPr>
      <w:r w:rsidRPr="00F53B4A">
        <w:rPr>
          <w:rFonts w:eastAsia="Calibri"/>
          <w:color w:val="000000"/>
        </w:rPr>
        <w:t xml:space="preserve">Time needed to administer the questionnaire </w:t>
      </w:r>
    </w:p>
    <w:p w14:paraId="77ED52B7" w14:textId="77777777" w:rsidR="00A53502" w:rsidRPr="00F53B4A" w:rsidRDefault="00352830">
      <w:pPr>
        <w:numPr>
          <w:ilvl w:val="0"/>
          <w:numId w:val="27"/>
        </w:numPr>
        <w:pBdr>
          <w:top w:val="nil"/>
          <w:left w:val="nil"/>
          <w:bottom w:val="nil"/>
          <w:right w:val="nil"/>
          <w:between w:val="nil"/>
        </w:pBdr>
        <w:rPr>
          <w:color w:val="000000"/>
        </w:rPr>
      </w:pPr>
      <w:r w:rsidRPr="00F53B4A">
        <w:rPr>
          <w:rFonts w:eastAsia="Calibri"/>
          <w:color w:val="000000"/>
        </w:rPr>
        <w:t xml:space="preserve">The feasibility of the sampling procedure </w:t>
      </w:r>
    </w:p>
    <w:p w14:paraId="1A267192" w14:textId="77777777" w:rsidR="002B5E5C" w:rsidRPr="002B5E5C" w:rsidRDefault="00352830" w:rsidP="002B5E5C">
      <w:pPr>
        <w:numPr>
          <w:ilvl w:val="0"/>
          <w:numId w:val="27"/>
        </w:numPr>
        <w:pBdr>
          <w:top w:val="nil"/>
          <w:left w:val="nil"/>
          <w:bottom w:val="nil"/>
          <w:right w:val="nil"/>
          <w:between w:val="nil"/>
        </w:pBdr>
        <w:spacing w:after="120" w:line="240" w:lineRule="auto"/>
        <w:ind w:left="714" w:hanging="357"/>
        <w:rPr>
          <w:color w:val="000000"/>
        </w:rPr>
      </w:pPr>
      <w:r w:rsidRPr="002B5E5C">
        <w:rPr>
          <w:rFonts w:eastAsia="Calibri"/>
          <w:color w:val="000000"/>
        </w:rPr>
        <w:t>Adequacy of data collectors per visit for the assessment</w:t>
      </w:r>
    </w:p>
    <w:p w14:paraId="4A418850" w14:textId="4FDFBE83" w:rsidR="002B5E5C" w:rsidRPr="002B5E5C" w:rsidRDefault="002B5E5C" w:rsidP="002B5E5C">
      <w:pPr>
        <w:numPr>
          <w:ilvl w:val="0"/>
          <w:numId w:val="27"/>
        </w:numPr>
        <w:pBdr>
          <w:top w:val="nil"/>
          <w:left w:val="nil"/>
          <w:bottom w:val="nil"/>
          <w:right w:val="nil"/>
          <w:between w:val="nil"/>
        </w:pBdr>
        <w:spacing w:after="120" w:line="240" w:lineRule="auto"/>
        <w:ind w:left="714" w:hanging="357"/>
        <w:rPr>
          <w:color w:val="000000"/>
        </w:rPr>
      </w:pPr>
      <w:r w:rsidRPr="002B5E5C">
        <w:rPr>
          <w:rFonts w:eastAsia="Calibri"/>
          <w:color w:val="000000"/>
        </w:rPr>
        <w:t>Knowledge and competencies of data collectors</w:t>
      </w:r>
    </w:p>
    <w:p w14:paraId="668B2BAB" w14:textId="5A354FC1" w:rsidR="00A53502" w:rsidRPr="00691D2D" w:rsidRDefault="002B5E5C" w:rsidP="002B5E5C">
      <w:pPr>
        <w:numPr>
          <w:ilvl w:val="0"/>
          <w:numId w:val="27"/>
        </w:numPr>
        <w:pBdr>
          <w:top w:val="nil"/>
          <w:left w:val="nil"/>
          <w:bottom w:val="nil"/>
          <w:right w:val="nil"/>
          <w:between w:val="nil"/>
        </w:pBdr>
        <w:spacing w:after="120" w:line="240" w:lineRule="auto"/>
        <w:ind w:left="714" w:hanging="357"/>
        <w:rPr>
          <w:color w:val="000000"/>
        </w:rPr>
      </w:pPr>
      <w:r>
        <w:rPr>
          <w:rFonts w:eastAsia="Calibri"/>
          <w:color w:val="000000"/>
        </w:rPr>
        <w:t>Effectiveness of training</w:t>
      </w:r>
    </w:p>
    <w:p w14:paraId="508FE4EF" w14:textId="5EC16701" w:rsidR="00191378" w:rsidRPr="00F53B4A" w:rsidRDefault="00191378" w:rsidP="00691D2D">
      <w:pPr>
        <w:pBdr>
          <w:top w:val="nil"/>
          <w:left w:val="nil"/>
          <w:bottom w:val="nil"/>
          <w:right w:val="nil"/>
          <w:between w:val="nil"/>
        </w:pBdr>
        <w:spacing w:after="240"/>
        <w:ind w:left="720"/>
        <w:rPr>
          <w:color w:val="000000"/>
        </w:rPr>
      </w:pPr>
    </w:p>
    <w:p w14:paraId="04171C43" w14:textId="77777777" w:rsidR="00A53502" w:rsidRPr="00F53B4A" w:rsidRDefault="00352830" w:rsidP="00552782">
      <w:pPr>
        <w:pStyle w:val="Heading2"/>
        <w:rPr>
          <w:b w:val="0"/>
          <w:i w:val="0"/>
          <w:color w:val="000000"/>
        </w:rPr>
      </w:pPr>
      <w:bookmarkStart w:id="20" w:name="_Toc53960791"/>
      <w:r w:rsidRPr="00F53B4A">
        <w:t xml:space="preserve">Data Collection </w:t>
      </w:r>
      <w:r w:rsidRPr="00552782">
        <w:t>Procedures</w:t>
      </w:r>
      <w:bookmarkEnd w:id="20"/>
    </w:p>
    <w:p w14:paraId="05A3E15A" w14:textId="1DBAF3D2" w:rsidR="00A53502" w:rsidRPr="00F53B4A" w:rsidRDefault="00352830">
      <w:pPr>
        <w:spacing w:after="240"/>
        <w:rPr>
          <w:rFonts w:eastAsia="Calibri"/>
        </w:rPr>
      </w:pPr>
      <w:r w:rsidRPr="00F53B4A">
        <w:rPr>
          <w:rFonts w:eastAsia="Calibri"/>
        </w:rPr>
        <w:t xml:space="preserve">The data collection process and fieldwork will last for a period of </w:t>
      </w:r>
      <w:r w:rsidR="007118D3">
        <w:rPr>
          <w:rFonts w:eastAsia="Calibri"/>
        </w:rPr>
        <w:t xml:space="preserve">about </w:t>
      </w:r>
      <w:r w:rsidRPr="00F53B4A">
        <w:rPr>
          <w:rFonts w:eastAsia="Calibri"/>
        </w:rPr>
        <w:t>seven days</w:t>
      </w:r>
      <w:r w:rsidR="007118D3">
        <w:rPr>
          <w:rFonts w:eastAsia="Calibri"/>
        </w:rPr>
        <w:t xml:space="preserve"> in each state</w:t>
      </w:r>
      <w:r w:rsidRPr="00F53B4A">
        <w:rPr>
          <w:rFonts w:eastAsia="Calibri"/>
        </w:rPr>
        <w:t xml:space="preserve">. Two data collectors and one supervisor would constitute a team. The supervisor has the responsibility to ensure that data collected is uploaded to the server daily. Questions will be asked exactly the way they were written in the translated language, and in situations requiring interpretation, enumerators would ensure that the meaning of the questions is not altered. An average of 15 households will be covered per team per day. </w:t>
      </w:r>
    </w:p>
    <w:p w14:paraId="7B08F735" w14:textId="28288C18" w:rsidR="00A53502" w:rsidRPr="00F53B4A" w:rsidRDefault="00352830">
      <w:pPr>
        <w:spacing w:after="240"/>
        <w:rPr>
          <w:rFonts w:eastAsia="Calibri"/>
        </w:rPr>
      </w:pPr>
      <w:r w:rsidRPr="00F53B4A">
        <w:rPr>
          <w:rFonts w:eastAsia="Calibri"/>
        </w:rPr>
        <w:t>On arrival in a selected household, the enumerator will identify the head of the household, explain the purpose of the survey, ascertain the presence of at least one child eligible for SMC, and take permission to continue to the next step. The enumerator will then make a list of all children less than 10 years old in the household</w:t>
      </w:r>
      <w:r w:rsidR="002D6DC9">
        <w:rPr>
          <w:rFonts w:eastAsia="Calibri"/>
        </w:rPr>
        <w:t>, including their ages, gender and day 1 SMC administration in cycle 4</w:t>
      </w:r>
      <w:r w:rsidRPr="00F53B4A">
        <w:rPr>
          <w:rFonts w:eastAsia="Calibri"/>
        </w:rPr>
        <w:t>. Using this list, an eligible child, and another child older than 59 months (if available) will be randomly selected. The enumerator will proceed to interview the eligible child’s parent or primary caregiver after taking informed consent. After completing this interview, the consenting primary caregiver of the selected child above 59 months will also be interviewed to determine if the ineligible child (aged</w:t>
      </w:r>
      <w:r w:rsidR="00391CED">
        <w:rPr>
          <w:rFonts w:eastAsia="Calibri"/>
        </w:rPr>
        <w:t xml:space="preserve"> 5</w:t>
      </w:r>
      <w:r w:rsidR="002D6DC9">
        <w:rPr>
          <w:rFonts w:ascii="Calibri" w:eastAsia="Calibri" w:hAnsi="Calibri" w:cs="Calibri"/>
        </w:rPr>
        <w:t>–</w:t>
      </w:r>
      <w:r w:rsidR="00391CED">
        <w:rPr>
          <w:rFonts w:eastAsia="Calibri"/>
        </w:rPr>
        <w:t>10 years</w:t>
      </w:r>
      <w:r w:rsidRPr="00F53B4A">
        <w:rPr>
          <w:rFonts w:eastAsia="Calibri"/>
        </w:rPr>
        <w:t>) was given SMC (Day 1).</w:t>
      </w:r>
      <w:r w:rsidR="007118D3">
        <w:rPr>
          <w:rFonts w:eastAsia="Calibri"/>
        </w:rPr>
        <w:t xml:space="preserve"> Finally, the head of household will be interviewed for questions related to the household.</w:t>
      </w:r>
      <w:r w:rsidRPr="00F53B4A">
        <w:rPr>
          <w:rFonts w:eastAsia="Calibri"/>
        </w:rPr>
        <w:t xml:space="preserve"> A unique cluster and household identifier will be automatically generated by the electronic device used for data collection. Each of the selected children will also be given unique identifiers. The dataset obtained will not contain information from which respondents can be identified (e.g. their name) to ensure confidentiality. </w:t>
      </w:r>
      <w:r w:rsidRPr="00F53B4A">
        <w:rPr>
          <w:rFonts w:eastAsia="Calibri"/>
        </w:rPr>
        <w:lastRenderedPageBreak/>
        <w:t xml:space="preserve">Field data collection at the households </w:t>
      </w:r>
      <w:r w:rsidR="00391CED">
        <w:rPr>
          <w:rFonts w:eastAsia="Calibri"/>
        </w:rPr>
        <w:t>will</w:t>
      </w:r>
      <w:r w:rsidRPr="00F53B4A">
        <w:rPr>
          <w:rFonts w:eastAsia="Calibri"/>
        </w:rPr>
        <w:t xml:space="preserve"> be carried out using forms which are electronically configured on the android devices. </w:t>
      </w:r>
    </w:p>
    <w:p w14:paraId="2200B154" w14:textId="36932F2A" w:rsidR="00A53502" w:rsidRPr="00F53B4A" w:rsidRDefault="00352830">
      <w:pPr>
        <w:spacing w:after="240"/>
        <w:rPr>
          <w:rFonts w:eastAsia="Calibri"/>
        </w:rPr>
      </w:pPr>
      <w:r w:rsidRPr="00F53B4A">
        <w:rPr>
          <w:rFonts w:eastAsia="Calibri"/>
        </w:rPr>
        <w:t xml:space="preserve">Fieldwork for data collection </w:t>
      </w:r>
      <w:r w:rsidR="00391CED">
        <w:rPr>
          <w:rFonts w:eastAsia="Calibri"/>
        </w:rPr>
        <w:t>will</w:t>
      </w:r>
      <w:r w:rsidRPr="00F53B4A">
        <w:rPr>
          <w:rFonts w:eastAsia="Calibri"/>
        </w:rPr>
        <w:t xml:space="preserve"> be followed by daily review meetings among data collectors and supervisors to review completed tools, complete quality checks, validate entries and agree on strategies where necessary to facilitate quality data collection including reconciliation of facility names, community name, and descriptions. Data uploads should be made to a central cloud-based database daily to be reviewed by the central quality assurance team.</w:t>
      </w:r>
    </w:p>
    <w:p w14:paraId="7DBB5F10" w14:textId="77777777" w:rsidR="00A53502" w:rsidRPr="00F53B4A" w:rsidRDefault="00352830" w:rsidP="00552782">
      <w:pPr>
        <w:pStyle w:val="Heading1"/>
      </w:pPr>
      <w:bookmarkStart w:id="21" w:name="_Toc53960793"/>
      <w:r w:rsidRPr="00F53B4A">
        <w:t xml:space="preserve">MANAGEMENT </w:t>
      </w:r>
      <w:r w:rsidRPr="00552782">
        <w:t>OF</w:t>
      </w:r>
      <w:r w:rsidRPr="00F53B4A">
        <w:t xml:space="preserve"> FIELDWORK</w:t>
      </w:r>
      <w:bookmarkEnd w:id="21"/>
    </w:p>
    <w:p w14:paraId="183ADC48" w14:textId="77777777" w:rsidR="00A53502" w:rsidRPr="00F53B4A" w:rsidRDefault="00352830">
      <w:pPr>
        <w:spacing w:after="240"/>
        <w:rPr>
          <w:rFonts w:eastAsia="Calibri"/>
        </w:rPr>
      </w:pPr>
      <w:r w:rsidRPr="00F53B4A">
        <w:rPr>
          <w:rFonts w:eastAsia="Calibri"/>
        </w:rPr>
        <w:t xml:space="preserve">There should be detailed preparation for fieldwork which will include recruitment and training of field personnel (data collectors and supervisors), data collection, data management and analysis, autonomy and confidentiality of data collection, and data security. Adequate technical support should be given by the Research Coordinator, M&amp;E team, and Data Analyst. The data collectors will report to the supervisors. All challenges encountered at household, community and LGA levels should be documented as lessons learned to guide future implementation. Prior to the main data collection, a pretest of tools should be conducted after which a briefing session will be held to share experiences, lessons learned from the field and plan for the main data collection. </w:t>
      </w:r>
    </w:p>
    <w:p w14:paraId="25216630" w14:textId="77777777" w:rsidR="00A53502" w:rsidRPr="00F53B4A" w:rsidRDefault="00352830" w:rsidP="00552782">
      <w:pPr>
        <w:pStyle w:val="Heading1"/>
      </w:pPr>
      <w:bookmarkStart w:id="22" w:name="_Toc53960794"/>
      <w:r w:rsidRPr="00F53B4A">
        <w:t xml:space="preserve">DATA </w:t>
      </w:r>
      <w:r w:rsidRPr="00552782">
        <w:t>MANAGEMENT</w:t>
      </w:r>
      <w:bookmarkEnd w:id="22"/>
    </w:p>
    <w:p w14:paraId="0D5A037A" w14:textId="11511148" w:rsidR="00A53502" w:rsidRPr="00F53B4A" w:rsidRDefault="00352830">
      <w:pPr>
        <w:spacing w:after="240"/>
        <w:rPr>
          <w:rFonts w:eastAsia="Calibri"/>
        </w:rPr>
      </w:pPr>
      <w:r w:rsidRPr="00F53B4A">
        <w:rPr>
          <w:rFonts w:eastAsia="Calibri"/>
        </w:rPr>
        <w:t>Data collection will be done by computer-assisted personal interviews (CAPI) through online data collection platforms, using electronic android devices. This allows for in-field data entry and server synchronization. Data collected will be verified for quality assurance purposes by the supervisors in-field and uploaded daily to the online platform. The uploaded files will undergo additional consistency checks, cleaned, and saved as appropriate data files e.g. Stata format data files. Extensive data cleaning will be done at the end of the fieldwork prior to and during analysis.</w:t>
      </w:r>
    </w:p>
    <w:p w14:paraId="51441019" w14:textId="77777777" w:rsidR="00A53502" w:rsidRPr="00F53B4A" w:rsidRDefault="00352830" w:rsidP="00552782">
      <w:pPr>
        <w:pStyle w:val="Heading2"/>
      </w:pPr>
      <w:bookmarkStart w:id="23" w:name="_Toc53960795"/>
      <w:r w:rsidRPr="00F53B4A">
        <w:t xml:space="preserve">Data </w:t>
      </w:r>
      <w:r w:rsidRPr="00552782">
        <w:t>analysis</w:t>
      </w:r>
      <w:bookmarkEnd w:id="23"/>
    </w:p>
    <w:p w14:paraId="3B2A7270" w14:textId="77777777" w:rsidR="00A53502" w:rsidRPr="00F53B4A" w:rsidRDefault="00352830">
      <w:pPr>
        <w:rPr>
          <w:rFonts w:eastAsia="Calibri"/>
        </w:rPr>
      </w:pPr>
      <w:r w:rsidRPr="00F53B4A">
        <w:rPr>
          <w:rFonts w:eastAsia="Calibri"/>
        </w:rPr>
        <w:t xml:space="preserve">Data analysis will be carried out using statistical software e.g. Stata, SPSS etc. All indicators of interest will be presented in proportions by state and an average across all the states using probability weights. A confidence interval (CI) of 95% will be estimated for each proportion to provide a range of values around the estimate within which it will be expected to fall in the target population. </w:t>
      </w:r>
    </w:p>
    <w:p w14:paraId="667506FB" w14:textId="77777777" w:rsidR="00A53502" w:rsidRPr="00F53B4A" w:rsidRDefault="00A53502">
      <w:pPr>
        <w:rPr>
          <w:rFonts w:eastAsia="Calibri"/>
        </w:rPr>
      </w:pPr>
    </w:p>
    <w:p w14:paraId="3299B249" w14:textId="77777777" w:rsidR="00A53502" w:rsidRPr="00F53B4A" w:rsidRDefault="00352830" w:rsidP="00552782">
      <w:pPr>
        <w:pStyle w:val="Heading1"/>
      </w:pPr>
      <w:bookmarkStart w:id="24" w:name="_Toc53960796"/>
      <w:r w:rsidRPr="00F53B4A">
        <w:t xml:space="preserve">ETHICAL </w:t>
      </w:r>
      <w:r w:rsidRPr="00552782">
        <w:t>CONSIDERATIONS</w:t>
      </w:r>
      <w:bookmarkEnd w:id="24"/>
    </w:p>
    <w:p w14:paraId="4D5971F6" w14:textId="47AAEC2F" w:rsidR="00A53502" w:rsidRPr="00F53B4A" w:rsidRDefault="00352830">
      <w:pPr>
        <w:spacing w:after="240"/>
        <w:rPr>
          <w:rFonts w:eastAsia="Calibri"/>
        </w:rPr>
      </w:pPr>
      <w:r w:rsidRPr="00F53B4A">
        <w:rPr>
          <w:rFonts w:eastAsia="Calibri"/>
        </w:rPr>
        <w:t xml:space="preserve"> Ethical approval should be obtained for the survey from the National Health Research Ethics Committee of Nigeria (NHREC) to ensure the survey is in accordance</w:t>
      </w:r>
      <w:r w:rsidRPr="00F53B4A">
        <w:rPr>
          <w:rFonts w:eastAsia="Arial"/>
        </w:rPr>
        <w:t xml:space="preserve"> with the ethical research standards applied in the Federal Republic of Nigeria.</w:t>
      </w:r>
      <w:r w:rsidRPr="00F53B4A">
        <w:rPr>
          <w:rFonts w:eastAsia="Calibri"/>
        </w:rPr>
        <w:t xml:space="preserve"> Informed consent will be sought from all respondents by means of a consent form developed in English and translated into the relevant local language</w:t>
      </w:r>
      <w:r w:rsidR="000E7982">
        <w:rPr>
          <w:rFonts w:eastAsia="Calibri"/>
        </w:rPr>
        <w:t>s</w:t>
      </w:r>
      <w:r w:rsidRPr="00F53B4A">
        <w:rPr>
          <w:rFonts w:eastAsia="Calibri"/>
        </w:rPr>
        <w:t>. Respondents should be informed of the nature of the survey</w:t>
      </w:r>
      <w:r w:rsidR="000E7982">
        <w:rPr>
          <w:rFonts w:eastAsia="Calibri"/>
        </w:rPr>
        <w:t>, benefits and risks involved,</w:t>
      </w:r>
      <w:r w:rsidRPr="00F53B4A">
        <w:rPr>
          <w:rFonts w:eastAsia="Calibri"/>
        </w:rPr>
        <w:t xml:space="preserve"> what will be required of them as survey participants, </w:t>
      </w:r>
      <w:r w:rsidR="000E7982">
        <w:rPr>
          <w:rFonts w:eastAsia="Calibri"/>
        </w:rPr>
        <w:t xml:space="preserve">and given </w:t>
      </w:r>
      <w:r w:rsidRPr="00F53B4A">
        <w:rPr>
          <w:rFonts w:eastAsia="Calibri"/>
        </w:rPr>
        <w:t>an indication of the time that would be required to complete the survey. All personal or biographic data collected as part of this survey will be electronically stored securely within the implementing partner’s central office</w:t>
      </w:r>
      <w:r w:rsidR="000E7982">
        <w:rPr>
          <w:rFonts w:eastAsia="Calibri"/>
        </w:rPr>
        <w:t xml:space="preserve">, de-identified and </w:t>
      </w:r>
      <w:r w:rsidRPr="00F53B4A">
        <w:rPr>
          <w:rFonts w:eastAsia="Calibri"/>
        </w:rPr>
        <w:t xml:space="preserve">only </w:t>
      </w:r>
      <w:r w:rsidR="000E7982">
        <w:rPr>
          <w:rFonts w:eastAsia="Calibri"/>
        </w:rPr>
        <w:t>a</w:t>
      </w:r>
      <w:r w:rsidRPr="00F53B4A">
        <w:rPr>
          <w:rFonts w:eastAsia="Calibri"/>
        </w:rPr>
        <w:t>vailable to authorized individuals for analytical purposes</w:t>
      </w:r>
      <w:r w:rsidR="000E7982">
        <w:rPr>
          <w:rFonts w:eastAsia="Calibri"/>
        </w:rPr>
        <w:t xml:space="preserve"> to enhance confidentiality</w:t>
      </w:r>
      <w:r w:rsidRPr="00F53B4A">
        <w:rPr>
          <w:rFonts w:eastAsia="Calibri"/>
        </w:rPr>
        <w:t>.</w:t>
      </w:r>
      <w:r w:rsidR="000E7982">
        <w:rPr>
          <w:rFonts w:eastAsia="Calibri"/>
        </w:rPr>
        <w:t xml:space="preserve"> </w:t>
      </w:r>
      <w:r w:rsidRPr="00F53B4A">
        <w:rPr>
          <w:rFonts w:eastAsia="Arial"/>
        </w:rPr>
        <w:t>All survey instruments and protocols need to be approved before the survey.</w:t>
      </w:r>
    </w:p>
    <w:p w14:paraId="7B75C33B" w14:textId="77777777" w:rsidR="00A53502" w:rsidRPr="00F53B4A" w:rsidRDefault="00A53502">
      <w:pPr>
        <w:spacing w:after="240"/>
        <w:rPr>
          <w:rFonts w:eastAsia="Calibri"/>
        </w:rPr>
      </w:pPr>
    </w:p>
    <w:p w14:paraId="6FCF989B" w14:textId="77777777" w:rsidR="00A53502" w:rsidRPr="00F53B4A" w:rsidRDefault="00552782" w:rsidP="00552782">
      <w:pPr>
        <w:pStyle w:val="Heading1"/>
      </w:pPr>
      <w:bookmarkStart w:id="25" w:name="_glgzgiso0l6g" w:colFirst="0" w:colLast="0"/>
      <w:bookmarkStart w:id="26" w:name="_Toc53960797"/>
      <w:bookmarkEnd w:id="25"/>
      <w:r>
        <w:t xml:space="preserve">SAFETY </w:t>
      </w:r>
      <w:r w:rsidR="00352830" w:rsidRPr="00F53B4A">
        <w:t xml:space="preserve">CONSIDERATIONS FOR </w:t>
      </w:r>
      <w:r w:rsidR="00352830" w:rsidRPr="00552782">
        <w:t>SURVEYS</w:t>
      </w:r>
      <w:r w:rsidR="00352830" w:rsidRPr="00F53B4A">
        <w:t xml:space="preserve"> DURING COVID-19 PANDEMIC</w:t>
      </w:r>
      <w:bookmarkEnd w:id="26"/>
    </w:p>
    <w:p w14:paraId="0A1E5AFD" w14:textId="084AE857" w:rsidR="00A53502" w:rsidRDefault="00352830">
      <w:pPr>
        <w:rPr>
          <w:rFonts w:eastAsia="Calibri"/>
        </w:rPr>
      </w:pPr>
      <w:r w:rsidRPr="00F53B4A">
        <w:t>Since the first reported COVID-19 case in Wuhan, China on 31st December</w:t>
      </w:r>
      <w:r w:rsidR="00191378">
        <w:t xml:space="preserve"> 2019</w:t>
      </w:r>
      <w:r w:rsidRPr="00F53B4A">
        <w:t>, the world has been grappling with both the public health and economic ramifications of the</w:t>
      </w:r>
      <w:r w:rsidR="00E41299">
        <w:t xml:space="preserve"> </w:t>
      </w:r>
      <w:r w:rsidRPr="00F53B4A">
        <w:t>COVID-19 pandemic. In the early days of the pandemic, many research activities were halted</w:t>
      </w:r>
      <w:r w:rsidR="00552782">
        <w:t xml:space="preserve"> from fear of COVID-19 infection propagation</w:t>
      </w:r>
      <w:r w:rsidRPr="00F53B4A">
        <w:t xml:space="preserve">. However, as </w:t>
      </w:r>
      <w:r w:rsidRPr="00F53B4A">
        <w:rPr>
          <w:rFonts w:eastAsia="Calibri"/>
        </w:rPr>
        <w:t>research remains ethically relevant even during public health emergencies, research activities have gradually resumed under specified regulations. Therefore, the coverage survey will be carried out according to the existing National Guidelines on COVID-19 during all stages of research activities</w:t>
      </w:r>
      <w:r w:rsidR="00E41299">
        <w:rPr>
          <w:rFonts w:ascii="Calibri" w:eastAsia="Calibri" w:hAnsi="Calibri" w:cs="Calibri"/>
        </w:rPr>
        <w:t>—</w:t>
      </w:r>
      <w:r w:rsidRPr="00F53B4A">
        <w:rPr>
          <w:rFonts w:eastAsia="Calibri"/>
        </w:rPr>
        <w:t>training/workshops, meetings, data collection</w:t>
      </w:r>
      <w:r w:rsidR="00552782">
        <w:rPr>
          <w:rFonts w:eastAsia="Calibri"/>
        </w:rPr>
        <w:t xml:space="preserve"> –</w:t>
      </w:r>
      <w:r w:rsidRPr="00F53B4A">
        <w:rPr>
          <w:rFonts w:eastAsia="Calibri"/>
        </w:rPr>
        <w:t xml:space="preserve"> including consent taking and interviews. The general guiding principles will be to protect all study participants and survey personnel</w:t>
      </w:r>
      <w:r w:rsidR="00E41299" w:rsidRPr="00E41299">
        <w:rPr>
          <w:rFonts w:eastAsia="Calibri"/>
        </w:rPr>
        <w:t xml:space="preserve"> </w:t>
      </w:r>
      <w:r w:rsidR="00E41299" w:rsidRPr="00F53B4A">
        <w:rPr>
          <w:rFonts w:eastAsia="Calibri"/>
        </w:rPr>
        <w:t>from infection</w:t>
      </w:r>
      <w:r w:rsidR="008667BF">
        <w:rPr>
          <w:rFonts w:eastAsia="Calibri"/>
        </w:rPr>
        <w:t xml:space="preserve">, </w:t>
      </w:r>
      <w:r w:rsidRPr="00F53B4A">
        <w:rPr>
          <w:rFonts w:eastAsia="Calibri"/>
        </w:rPr>
        <w:t xml:space="preserve">including training facilitators, data collectors, and supervisors as well as the community members in survey locations. Measures to be taken during survey activities will include social distancing (limiting physical interactions to </w:t>
      </w:r>
      <w:r w:rsidR="00552782">
        <w:rPr>
          <w:rFonts w:eastAsia="Calibri"/>
        </w:rPr>
        <w:t>two</w:t>
      </w:r>
      <w:r w:rsidRPr="00F53B4A">
        <w:rPr>
          <w:rFonts w:eastAsia="Calibri"/>
        </w:rPr>
        <w:t xml:space="preserve"> meters apart), appropriate use of face mask</w:t>
      </w:r>
      <w:r w:rsidR="00E41299">
        <w:rPr>
          <w:rFonts w:eastAsia="Calibri"/>
        </w:rPr>
        <w:t>s</w:t>
      </w:r>
      <w:r w:rsidRPr="00F53B4A">
        <w:rPr>
          <w:rFonts w:eastAsia="Calibri"/>
        </w:rPr>
        <w:t xml:space="preserve">, frequent hand hygiene, and disinfection of equipment. </w:t>
      </w:r>
      <w:r w:rsidR="00815640">
        <w:rPr>
          <w:rFonts w:eastAsia="Calibri"/>
        </w:rPr>
        <w:t xml:space="preserve">An operational guidance </w:t>
      </w:r>
      <w:r w:rsidR="0009089B">
        <w:rPr>
          <w:rFonts w:eastAsia="Calibri"/>
        </w:rPr>
        <w:t xml:space="preserve">for implementing SMC in the COVID-19 </w:t>
      </w:r>
      <w:r w:rsidR="006626D5">
        <w:rPr>
          <w:rFonts w:eastAsia="Calibri"/>
        </w:rPr>
        <w:t xml:space="preserve">context </w:t>
      </w:r>
      <w:r w:rsidR="00815640">
        <w:rPr>
          <w:rFonts w:eastAsia="Calibri"/>
        </w:rPr>
        <w:t xml:space="preserve">developed by the </w:t>
      </w:r>
      <w:r w:rsidR="002308B1">
        <w:rPr>
          <w:rFonts w:eastAsia="Calibri"/>
        </w:rPr>
        <w:t xml:space="preserve">RBM Partnership </w:t>
      </w:r>
      <w:r w:rsidR="0009089B">
        <w:rPr>
          <w:rFonts w:eastAsia="Calibri"/>
        </w:rPr>
        <w:t xml:space="preserve">is available in </w:t>
      </w:r>
      <w:hyperlink w:anchor="_Annex_3" w:history="1">
        <w:r w:rsidR="00487C6D" w:rsidRPr="00572414">
          <w:rPr>
            <w:rStyle w:val="Hyperlink"/>
            <w:rFonts w:eastAsia="Calibri"/>
          </w:rPr>
          <w:t xml:space="preserve">Annex </w:t>
        </w:r>
        <w:r w:rsidR="00355305" w:rsidRPr="00572414">
          <w:rPr>
            <w:rStyle w:val="Hyperlink"/>
            <w:rFonts w:eastAsia="Calibri"/>
          </w:rPr>
          <w:t>3</w:t>
        </w:r>
      </w:hyperlink>
      <w:r w:rsidR="00487C6D" w:rsidRPr="00572414">
        <w:rPr>
          <w:rFonts w:eastAsia="Calibri"/>
        </w:rPr>
        <w:t>.</w:t>
      </w:r>
    </w:p>
    <w:p w14:paraId="499545F2" w14:textId="77777777" w:rsidR="00AB35AD" w:rsidRDefault="00AB35AD">
      <w:pPr>
        <w:rPr>
          <w:rFonts w:eastAsia="Calibri"/>
        </w:rPr>
      </w:pPr>
    </w:p>
    <w:p w14:paraId="7EA92AEE" w14:textId="77777777" w:rsidR="00AB35AD" w:rsidRDefault="00AB35AD" w:rsidP="00AB35AD">
      <w:pPr>
        <w:pStyle w:val="Heading1"/>
        <w:rPr>
          <w:rFonts w:eastAsia="Calibri"/>
        </w:rPr>
      </w:pPr>
      <w:bookmarkStart w:id="27" w:name="_Toc53960798"/>
      <w:r>
        <w:rPr>
          <w:rFonts w:eastAsia="Calibri"/>
        </w:rPr>
        <w:lastRenderedPageBreak/>
        <w:t>SCHEDULE FOR COVERAGE SURVEY</w:t>
      </w:r>
      <w:bookmarkEnd w:id="27"/>
    </w:p>
    <w:p w14:paraId="3AE0DA62" w14:textId="77777777" w:rsidR="00AB35AD" w:rsidRDefault="00AB35AD">
      <w:pPr>
        <w:rPr>
          <w:rFonts w:eastAsia="Calibri"/>
        </w:rPr>
      </w:pPr>
      <w:r>
        <w:rPr>
          <w:rFonts w:eastAsia="Calibri"/>
        </w:rPr>
        <w:t xml:space="preserve">The SMC coverage survey is programmatically required to be conducted within </w:t>
      </w:r>
      <w:r w:rsidR="00243DAF">
        <w:rPr>
          <w:rFonts w:eastAsia="Calibri"/>
        </w:rPr>
        <w:t xml:space="preserve">2-4 </w:t>
      </w:r>
      <w:r w:rsidR="008828F9">
        <w:rPr>
          <w:rFonts w:eastAsia="Calibri"/>
        </w:rPr>
        <w:t>weeks of the co</w:t>
      </w:r>
      <w:r>
        <w:rPr>
          <w:rFonts w:eastAsia="Calibri"/>
        </w:rPr>
        <w:t>nclusion of the fourth cycle of SMC</w:t>
      </w:r>
      <w:r w:rsidR="007369FC">
        <w:rPr>
          <w:rFonts w:eastAsia="Calibri"/>
        </w:rPr>
        <w:t xml:space="preserve">. The interval between the last day of cycle-4 implementation and commencement of the survey should not be longer than 4 weeks in extreme circumstances </w:t>
      </w:r>
      <w:r w:rsidR="008828F9">
        <w:rPr>
          <w:rFonts w:eastAsia="Calibri"/>
        </w:rPr>
        <w:t>to avoid recall bias among survey respondents</w:t>
      </w:r>
      <w:r>
        <w:rPr>
          <w:rFonts w:eastAsia="Calibri"/>
        </w:rPr>
        <w:t>.</w:t>
      </w:r>
      <w:r w:rsidR="00243DAF">
        <w:rPr>
          <w:rFonts w:eastAsia="Calibri"/>
        </w:rPr>
        <w:t xml:space="preserve"> A tentative schedule f</w:t>
      </w:r>
      <w:r w:rsidR="00500A00">
        <w:rPr>
          <w:rFonts w:eastAsia="Calibri"/>
        </w:rPr>
        <w:t>or the 2020</w:t>
      </w:r>
      <w:r w:rsidR="00243DAF">
        <w:rPr>
          <w:rFonts w:eastAsia="Calibri"/>
        </w:rPr>
        <w:t xml:space="preserve"> end-of-round </w:t>
      </w:r>
      <w:r w:rsidR="00500A00">
        <w:rPr>
          <w:rFonts w:eastAsia="Calibri"/>
        </w:rPr>
        <w:t>coverage survey</w:t>
      </w:r>
      <w:r w:rsidR="00243DAF">
        <w:rPr>
          <w:rFonts w:eastAsia="Calibri"/>
        </w:rPr>
        <w:t xml:space="preserve"> in the nine states that implemented SMC is shown in </w:t>
      </w:r>
      <w:hyperlink w:anchor="_Annex_1:_Schedule" w:history="1">
        <w:r w:rsidR="00243DAF" w:rsidRPr="00C01D96">
          <w:rPr>
            <w:rStyle w:val="Hyperlink"/>
            <w:rFonts w:eastAsia="Calibri"/>
          </w:rPr>
          <w:t>Annex 1</w:t>
        </w:r>
      </w:hyperlink>
      <w:r w:rsidR="00243DAF">
        <w:rPr>
          <w:rFonts w:eastAsia="Calibri"/>
        </w:rPr>
        <w:t>.</w:t>
      </w:r>
    </w:p>
    <w:p w14:paraId="5F26A70F" w14:textId="733B7E6C" w:rsidR="00391CED" w:rsidRDefault="00391CED">
      <w:pPr>
        <w:rPr>
          <w:rFonts w:eastAsia="Calibri"/>
        </w:rPr>
      </w:pPr>
    </w:p>
    <w:p w14:paraId="4C6DE7A6" w14:textId="2F5CB33B" w:rsidR="00731A09" w:rsidRDefault="00731A09">
      <w:pPr>
        <w:rPr>
          <w:rFonts w:eastAsia="Calibri"/>
        </w:rPr>
      </w:pPr>
    </w:p>
    <w:p w14:paraId="1254B5CE" w14:textId="334ADC34" w:rsidR="00731A09" w:rsidRDefault="00731A09" w:rsidP="00691D2D">
      <w:pPr>
        <w:pStyle w:val="Heading1"/>
        <w:rPr>
          <w:rFonts w:eastAsia="Calibri"/>
        </w:rPr>
      </w:pPr>
      <w:r>
        <w:rPr>
          <w:rFonts w:eastAsia="Calibri"/>
        </w:rPr>
        <w:t>REFERENCES</w:t>
      </w:r>
    </w:p>
    <w:p w14:paraId="6091101A" w14:textId="5AC05030" w:rsidR="001841E9" w:rsidRDefault="001841E9" w:rsidP="00731A09">
      <w:pPr>
        <w:rPr>
          <w:rFonts w:eastAsia="Calibri"/>
        </w:rPr>
      </w:pPr>
      <w:r w:rsidRPr="001841E9">
        <w:t>Kish, L. (1965), Survey Sampling, John Wiley &amp; Sons.</w:t>
      </w:r>
      <w:r>
        <w:t xml:space="preserve"> Cited in: Clark, R.G. and Steel, D.G. (2002), The Effect of using Household as a Sampling Unit. International Statistical Review, 70: 289-314</w:t>
      </w:r>
    </w:p>
    <w:p w14:paraId="5B9F5B6C" w14:textId="77777777" w:rsidR="001841E9" w:rsidRDefault="001841E9" w:rsidP="00731A09">
      <w:pPr>
        <w:rPr>
          <w:rFonts w:eastAsia="Calibri"/>
        </w:rPr>
      </w:pPr>
    </w:p>
    <w:p w14:paraId="183CEE72" w14:textId="1ED139B3" w:rsidR="002D74A2" w:rsidRDefault="002D74A2" w:rsidP="00731A09">
      <w:pPr>
        <w:rPr>
          <w:rFonts w:eastAsia="Calibri"/>
        </w:rPr>
      </w:pPr>
      <w:r w:rsidRPr="002D74A2">
        <w:rPr>
          <w:rFonts w:eastAsia="Calibri"/>
        </w:rPr>
        <w:t xml:space="preserve">Lwanga, </w:t>
      </w:r>
      <w:r>
        <w:rPr>
          <w:rFonts w:eastAsia="Calibri"/>
        </w:rPr>
        <w:t>SK</w:t>
      </w:r>
      <w:r w:rsidRPr="002D74A2">
        <w:rPr>
          <w:rFonts w:eastAsia="Calibri"/>
        </w:rPr>
        <w:t xml:space="preserve">, Lemeshow, S </w:t>
      </w:r>
      <w:r>
        <w:rPr>
          <w:rFonts w:eastAsia="Calibri"/>
        </w:rPr>
        <w:t>and</w:t>
      </w:r>
      <w:r w:rsidRPr="002D74A2">
        <w:rPr>
          <w:rFonts w:eastAsia="Calibri"/>
        </w:rPr>
        <w:t xml:space="preserve"> World Health Organization. (‎1991)‎. Sample Size Determination in Health Studies: A Practical Manual. </w:t>
      </w:r>
      <w:r>
        <w:rPr>
          <w:rFonts w:eastAsia="Calibri"/>
        </w:rPr>
        <w:t xml:space="preserve">Geneva: </w:t>
      </w:r>
      <w:r w:rsidRPr="002D74A2">
        <w:rPr>
          <w:rFonts w:eastAsia="Calibri"/>
        </w:rPr>
        <w:t xml:space="preserve">World Health Organization. </w:t>
      </w:r>
      <w:r>
        <w:rPr>
          <w:rFonts w:eastAsia="Calibri"/>
        </w:rPr>
        <w:t xml:space="preserve">Available online at </w:t>
      </w:r>
      <w:hyperlink r:id="rId11" w:history="1">
        <w:r w:rsidRPr="002D74A2">
          <w:rPr>
            <w:rStyle w:val="Hyperlink"/>
            <w:rFonts w:eastAsia="Calibri"/>
          </w:rPr>
          <w:t>https://apps.who.int/iris/handle/10665/40062</w:t>
        </w:r>
      </w:hyperlink>
    </w:p>
    <w:p w14:paraId="4033B795" w14:textId="77777777" w:rsidR="001841E9" w:rsidRDefault="001841E9" w:rsidP="00731A09">
      <w:pPr>
        <w:rPr>
          <w:rFonts w:eastAsia="Calibri"/>
        </w:rPr>
      </w:pPr>
    </w:p>
    <w:p w14:paraId="4B8EB27D" w14:textId="68DA4879" w:rsidR="003B41FA" w:rsidRDefault="003B41FA" w:rsidP="00731A09">
      <w:pPr>
        <w:rPr>
          <w:rFonts w:eastAsia="Calibri"/>
        </w:rPr>
      </w:pPr>
      <w:r w:rsidRPr="003B41FA">
        <w:rPr>
          <w:rFonts w:eastAsia="Calibri"/>
        </w:rPr>
        <w:t>Malaria Consortium.</w:t>
      </w:r>
      <w:r>
        <w:rPr>
          <w:rFonts w:eastAsia="Calibri"/>
        </w:rPr>
        <w:t xml:space="preserve"> (2020).</w:t>
      </w:r>
      <w:r w:rsidRPr="003B41FA">
        <w:rPr>
          <w:rFonts w:eastAsia="Calibri"/>
        </w:rPr>
        <w:t xml:space="preserve"> Job aid: STEPS for using infection prevention and control to deliver SMC during COVID-19 pandemic. London: Malaria Consortium; 2020. </w:t>
      </w:r>
      <w:hyperlink r:id="rId12" w:history="1">
        <w:r w:rsidRPr="00BE3EBD">
          <w:rPr>
            <w:rStyle w:val="Hyperlink"/>
            <w:rFonts w:eastAsia="Calibri"/>
          </w:rPr>
          <w:t>https://www.malariaconsortium.org/gallery-file/06170924-10-smc_covid19jobaid.pdf</w:t>
        </w:r>
      </w:hyperlink>
      <w:r w:rsidRPr="003B41FA">
        <w:rPr>
          <w:rFonts w:eastAsia="Calibri"/>
        </w:rPr>
        <w:t>.</w:t>
      </w:r>
      <w:r>
        <w:rPr>
          <w:rFonts w:eastAsia="Calibri"/>
        </w:rPr>
        <w:t xml:space="preserve"> Retrieved 19</w:t>
      </w:r>
      <w:r w:rsidRPr="0039143F">
        <w:rPr>
          <w:rFonts w:eastAsia="Calibri"/>
        </w:rPr>
        <w:t xml:space="preserve"> </w:t>
      </w:r>
      <w:r>
        <w:rPr>
          <w:rFonts w:eastAsia="Calibri"/>
        </w:rPr>
        <w:t>November 2020.</w:t>
      </w:r>
    </w:p>
    <w:p w14:paraId="3C624013" w14:textId="77777777" w:rsidR="003B41FA" w:rsidRDefault="003B41FA" w:rsidP="00731A09">
      <w:pPr>
        <w:rPr>
          <w:rFonts w:eastAsia="Calibri"/>
        </w:rPr>
      </w:pPr>
    </w:p>
    <w:p w14:paraId="4EFE0E73" w14:textId="0360B217" w:rsidR="0039143F" w:rsidRDefault="0039143F" w:rsidP="00731A09">
      <w:pPr>
        <w:rPr>
          <w:rFonts w:eastAsia="Calibri"/>
        </w:rPr>
      </w:pPr>
      <w:r>
        <w:rPr>
          <w:rFonts w:eastAsia="Calibri"/>
        </w:rPr>
        <w:t>Schreiner, M. (2015</w:t>
      </w:r>
      <w:r w:rsidR="003B41FA">
        <w:rPr>
          <w:rFonts w:eastAsia="Calibri"/>
        </w:rPr>
        <w:t xml:space="preserve">). </w:t>
      </w:r>
      <w:r w:rsidRPr="0039143F">
        <w:rPr>
          <w:rFonts w:eastAsia="Calibri"/>
        </w:rPr>
        <w:t>Simple Poverty Scorecard® Poverty-Assessment Tool Nigeria</w:t>
      </w:r>
      <w:r>
        <w:rPr>
          <w:rFonts w:eastAsia="Calibri"/>
        </w:rPr>
        <w:t>.</w:t>
      </w:r>
      <w:r w:rsidRPr="0039143F">
        <w:rPr>
          <w:rFonts w:eastAsia="Calibri"/>
        </w:rPr>
        <w:t xml:space="preserve"> </w:t>
      </w:r>
      <w:r w:rsidR="003B41FA" w:rsidRPr="003B41FA">
        <w:rPr>
          <w:rFonts w:eastAsia="Calibri"/>
        </w:rPr>
        <w:t>http://www.simplepovertyscorecard.com/NGA_2012_ENG.pdf</w:t>
      </w:r>
      <w:r>
        <w:rPr>
          <w:rFonts w:eastAsia="Calibri"/>
        </w:rPr>
        <w:t>. Retrieved 19</w:t>
      </w:r>
      <w:r w:rsidRPr="0039143F">
        <w:rPr>
          <w:rFonts w:eastAsia="Calibri"/>
        </w:rPr>
        <w:t xml:space="preserve"> </w:t>
      </w:r>
      <w:r>
        <w:rPr>
          <w:rFonts w:eastAsia="Calibri"/>
        </w:rPr>
        <w:t>November 2020.</w:t>
      </w:r>
    </w:p>
    <w:p w14:paraId="037D2507" w14:textId="77777777" w:rsidR="0039143F" w:rsidRDefault="0039143F" w:rsidP="00731A09">
      <w:pPr>
        <w:rPr>
          <w:rFonts w:eastAsia="Calibri"/>
        </w:rPr>
      </w:pPr>
    </w:p>
    <w:p w14:paraId="59EE79A7" w14:textId="3CC003BC" w:rsidR="00731A09" w:rsidRDefault="00191378" w:rsidP="00731A09">
      <w:pPr>
        <w:rPr>
          <w:rFonts w:eastAsia="Calibri"/>
        </w:rPr>
      </w:pPr>
      <w:r w:rsidRPr="00191378">
        <w:rPr>
          <w:rFonts w:eastAsia="Calibri"/>
        </w:rPr>
        <w:t>World Health Organization</w:t>
      </w:r>
      <w:r>
        <w:rPr>
          <w:rFonts w:eastAsia="Calibri"/>
        </w:rPr>
        <w:t xml:space="preserve"> </w:t>
      </w:r>
      <w:r w:rsidR="00731A09" w:rsidRPr="00691D2D">
        <w:rPr>
          <w:rFonts w:eastAsia="Calibri"/>
        </w:rPr>
        <w:t>(2012). WHO Policy Recommendation: Seasonal Malaria Chemoprevention (SMC) for Plasmodium falciparum malaria control in highly seasonal transmission areas of the Sahel sub-region in Africa. Geneva: Global Malaria Programme, World Health Organization.</w:t>
      </w:r>
    </w:p>
    <w:p w14:paraId="6D6E2F05" w14:textId="77777777" w:rsidR="00191378" w:rsidRDefault="00191378" w:rsidP="00731A09">
      <w:pPr>
        <w:rPr>
          <w:rFonts w:eastAsia="Calibri"/>
        </w:rPr>
      </w:pPr>
    </w:p>
    <w:p w14:paraId="792BB78E" w14:textId="0684DAF2" w:rsidR="00191378" w:rsidRDefault="00191378" w:rsidP="00731A09">
      <w:pPr>
        <w:rPr>
          <w:rFonts w:eastAsia="Calibri"/>
        </w:rPr>
      </w:pPr>
      <w:r w:rsidRPr="00191378">
        <w:rPr>
          <w:rFonts w:eastAsia="Calibri"/>
        </w:rPr>
        <w:lastRenderedPageBreak/>
        <w:t>World Health Organization</w:t>
      </w:r>
      <w:r>
        <w:rPr>
          <w:rFonts w:eastAsia="Calibri"/>
        </w:rPr>
        <w:t xml:space="preserve"> (2018)</w:t>
      </w:r>
      <w:r w:rsidRPr="00191378">
        <w:rPr>
          <w:rFonts w:eastAsia="Calibri"/>
        </w:rPr>
        <w:t>. World Health Organization vaccination coverage cluster surveys: reference manual. World Health Organization.</w:t>
      </w:r>
    </w:p>
    <w:p w14:paraId="4E8B2D35" w14:textId="77777777" w:rsidR="001841E9" w:rsidRDefault="001841E9" w:rsidP="00731A09">
      <w:pPr>
        <w:rPr>
          <w:rFonts w:eastAsia="Calibri"/>
        </w:rPr>
      </w:pPr>
    </w:p>
    <w:p w14:paraId="3B4EABBF" w14:textId="1D653B56" w:rsidR="00731A09" w:rsidRDefault="00191378" w:rsidP="00731A09">
      <w:pPr>
        <w:rPr>
          <w:rFonts w:eastAsia="Calibri"/>
        </w:rPr>
      </w:pPr>
      <w:r w:rsidRPr="00191378">
        <w:rPr>
          <w:rFonts w:eastAsia="Calibri"/>
        </w:rPr>
        <w:t>World Health Organization</w:t>
      </w:r>
      <w:r>
        <w:rPr>
          <w:rFonts w:eastAsia="Calibri"/>
        </w:rPr>
        <w:t xml:space="preserve"> </w:t>
      </w:r>
      <w:r w:rsidR="00731A09">
        <w:rPr>
          <w:rFonts w:eastAsia="Calibri"/>
        </w:rPr>
        <w:t xml:space="preserve">(2019). World Malaria Report 2019. </w:t>
      </w:r>
      <w:r w:rsidR="00731A09" w:rsidRPr="00CA1983">
        <w:rPr>
          <w:rFonts w:eastAsia="Calibri"/>
        </w:rPr>
        <w:t>Geneva: Global Malaria Programme, World Health Organization.</w:t>
      </w:r>
    </w:p>
    <w:p w14:paraId="68E3D2E6" w14:textId="77777777" w:rsidR="00133529" w:rsidRDefault="00133529">
      <w:pPr>
        <w:pStyle w:val="Heading1"/>
      </w:pPr>
      <w:r w:rsidRPr="00691D2D">
        <w:rPr>
          <w:rFonts w:eastAsia="Calibri"/>
        </w:rPr>
        <w:br w:type="page"/>
      </w:r>
      <w:bookmarkStart w:id="28" w:name="_Annex_1:_Schedule"/>
      <w:bookmarkStart w:id="29" w:name="_Toc53960799"/>
      <w:bookmarkEnd w:id="28"/>
      <w:r>
        <w:lastRenderedPageBreak/>
        <w:t>Annex 1: Schedule of the 2020 SMC coverage survey in the states</w:t>
      </w:r>
      <w:bookmarkEnd w:id="29"/>
    </w:p>
    <w:tbl>
      <w:tblPr>
        <w:tblStyle w:val="TableGrid"/>
        <w:tblW w:w="5000" w:type="pct"/>
        <w:tblLook w:val="04A0" w:firstRow="1" w:lastRow="0" w:firstColumn="1" w:lastColumn="0" w:noHBand="0" w:noVBand="1"/>
      </w:tblPr>
      <w:tblGrid>
        <w:gridCol w:w="1907"/>
        <w:gridCol w:w="3295"/>
        <w:gridCol w:w="4148"/>
      </w:tblGrid>
      <w:tr w:rsidR="00C436FB" w:rsidRPr="00C436FB" w14:paraId="11056212" w14:textId="77777777" w:rsidTr="00CF3BEA">
        <w:trPr>
          <w:trHeight w:val="290"/>
        </w:trPr>
        <w:tc>
          <w:tcPr>
            <w:tcW w:w="1020" w:type="pct"/>
            <w:shd w:val="clear" w:color="auto" w:fill="00B050"/>
            <w:noWrap/>
            <w:hideMark/>
          </w:tcPr>
          <w:p w14:paraId="071EA357" w14:textId="77777777" w:rsidR="00C436FB" w:rsidRPr="00E135B5" w:rsidRDefault="00C436FB" w:rsidP="00CF3BEA">
            <w:pPr>
              <w:spacing w:line="360" w:lineRule="auto"/>
              <w:jc w:val="left"/>
              <w:rPr>
                <w:b/>
                <w:bCs/>
              </w:rPr>
            </w:pPr>
            <w:r w:rsidRPr="00E135B5">
              <w:rPr>
                <w:b/>
                <w:bCs/>
              </w:rPr>
              <w:t>State</w:t>
            </w:r>
          </w:p>
        </w:tc>
        <w:tc>
          <w:tcPr>
            <w:tcW w:w="1762" w:type="pct"/>
            <w:shd w:val="clear" w:color="auto" w:fill="00B050"/>
            <w:noWrap/>
            <w:hideMark/>
          </w:tcPr>
          <w:p w14:paraId="3D6CF5A8" w14:textId="77777777" w:rsidR="00C436FB" w:rsidRPr="00E135B5" w:rsidRDefault="00C436FB" w:rsidP="00CF3BEA">
            <w:pPr>
              <w:spacing w:line="360" w:lineRule="auto"/>
              <w:jc w:val="left"/>
              <w:rPr>
                <w:b/>
                <w:bCs/>
              </w:rPr>
            </w:pPr>
            <w:r w:rsidRPr="00E135B5">
              <w:rPr>
                <w:b/>
                <w:bCs/>
              </w:rPr>
              <w:t xml:space="preserve">Cycle-4 </w:t>
            </w:r>
            <w:r w:rsidR="00C01D96">
              <w:rPr>
                <w:b/>
                <w:bCs/>
              </w:rPr>
              <w:t xml:space="preserve">implementation </w:t>
            </w:r>
            <w:r w:rsidRPr="00E135B5">
              <w:rPr>
                <w:b/>
                <w:bCs/>
              </w:rPr>
              <w:t>date</w:t>
            </w:r>
          </w:p>
        </w:tc>
        <w:tc>
          <w:tcPr>
            <w:tcW w:w="2218" w:type="pct"/>
            <w:shd w:val="clear" w:color="auto" w:fill="00B050"/>
            <w:noWrap/>
            <w:hideMark/>
          </w:tcPr>
          <w:p w14:paraId="1818F896" w14:textId="77777777" w:rsidR="00C436FB" w:rsidRPr="00E135B5" w:rsidRDefault="00C436FB" w:rsidP="00CF3BEA">
            <w:pPr>
              <w:spacing w:line="360" w:lineRule="auto"/>
              <w:jc w:val="left"/>
              <w:rPr>
                <w:b/>
                <w:bCs/>
              </w:rPr>
            </w:pPr>
            <w:r w:rsidRPr="00E135B5">
              <w:rPr>
                <w:b/>
                <w:bCs/>
              </w:rPr>
              <w:t xml:space="preserve">Tentative timeline for coverage survey </w:t>
            </w:r>
          </w:p>
        </w:tc>
      </w:tr>
      <w:tr w:rsidR="00CF3BEA" w:rsidRPr="00C436FB" w14:paraId="12FBDD84" w14:textId="77777777" w:rsidTr="00CF3BEA">
        <w:trPr>
          <w:trHeight w:val="290"/>
        </w:trPr>
        <w:tc>
          <w:tcPr>
            <w:tcW w:w="1020" w:type="pct"/>
            <w:noWrap/>
            <w:hideMark/>
          </w:tcPr>
          <w:p w14:paraId="168FFC45" w14:textId="77777777" w:rsidR="00CF3BEA" w:rsidRDefault="00CF3BEA" w:rsidP="00CF3BEA">
            <w:pPr>
              <w:spacing w:line="360" w:lineRule="auto"/>
            </w:pPr>
            <w:r w:rsidRPr="00C436FB">
              <w:t>Bauchi</w:t>
            </w:r>
          </w:p>
          <w:p w14:paraId="2CCDB198" w14:textId="77777777" w:rsidR="00CF3BEA" w:rsidRPr="00C436FB" w:rsidRDefault="00CF3BEA" w:rsidP="00CF3BEA">
            <w:pPr>
              <w:spacing w:line="360" w:lineRule="auto"/>
            </w:pPr>
          </w:p>
        </w:tc>
        <w:tc>
          <w:tcPr>
            <w:tcW w:w="1762" w:type="pct"/>
            <w:noWrap/>
            <w:hideMark/>
          </w:tcPr>
          <w:p w14:paraId="6A22D57B" w14:textId="77777777" w:rsidR="00CF3BEA" w:rsidRPr="00C436FB" w:rsidRDefault="00CF3BEA" w:rsidP="00CF3BEA">
            <w:pPr>
              <w:spacing w:line="360" w:lineRule="auto"/>
            </w:pPr>
            <w:r>
              <w:t>10-13 October</w:t>
            </w:r>
          </w:p>
        </w:tc>
        <w:tc>
          <w:tcPr>
            <w:tcW w:w="2218" w:type="pct"/>
            <w:noWrap/>
            <w:hideMark/>
          </w:tcPr>
          <w:p w14:paraId="5564B18A" w14:textId="77777777" w:rsidR="00CF3BEA" w:rsidRPr="00C436FB" w:rsidRDefault="00CF3BEA" w:rsidP="00CF3BEA">
            <w:pPr>
              <w:spacing w:line="360" w:lineRule="auto"/>
            </w:pPr>
            <w:r w:rsidRPr="00C436FB">
              <w:t xml:space="preserve">1st </w:t>
            </w:r>
            <w:r w:rsidR="00611A86">
              <w:t>w</w:t>
            </w:r>
            <w:r w:rsidRPr="00C436FB">
              <w:t xml:space="preserve">eek </w:t>
            </w:r>
            <w:r w:rsidR="00611A86">
              <w:t>in</w:t>
            </w:r>
            <w:r w:rsidRPr="00C436FB">
              <w:t xml:space="preserve"> November</w:t>
            </w:r>
          </w:p>
        </w:tc>
      </w:tr>
      <w:tr w:rsidR="00CF3BEA" w:rsidRPr="00C436FB" w14:paraId="18AEC6DC" w14:textId="77777777" w:rsidTr="00CF3BEA">
        <w:trPr>
          <w:trHeight w:val="290"/>
        </w:trPr>
        <w:tc>
          <w:tcPr>
            <w:tcW w:w="1020" w:type="pct"/>
            <w:noWrap/>
            <w:hideMark/>
          </w:tcPr>
          <w:p w14:paraId="636DD762" w14:textId="77777777" w:rsidR="00CF3BEA" w:rsidRDefault="00CF3BEA" w:rsidP="00CF3BEA">
            <w:pPr>
              <w:spacing w:line="360" w:lineRule="auto"/>
            </w:pPr>
            <w:r w:rsidRPr="00C436FB">
              <w:t>Borno</w:t>
            </w:r>
          </w:p>
          <w:p w14:paraId="07ECC0EB" w14:textId="77777777" w:rsidR="00CF3BEA" w:rsidRPr="00C436FB" w:rsidRDefault="00CF3BEA" w:rsidP="00CF3BEA">
            <w:pPr>
              <w:spacing w:line="360" w:lineRule="auto"/>
            </w:pPr>
          </w:p>
        </w:tc>
        <w:tc>
          <w:tcPr>
            <w:tcW w:w="1762" w:type="pct"/>
            <w:noWrap/>
            <w:hideMark/>
          </w:tcPr>
          <w:p w14:paraId="20B1A395" w14:textId="77777777" w:rsidR="00CF3BEA" w:rsidRPr="00C436FB" w:rsidRDefault="00CF3BEA" w:rsidP="00CF3BEA">
            <w:pPr>
              <w:spacing w:line="360" w:lineRule="auto"/>
            </w:pPr>
            <w:r w:rsidRPr="00C436FB">
              <w:t>End of October</w:t>
            </w:r>
            <w:r>
              <w:t>*</w:t>
            </w:r>
          </w:p>
        </w:tc>
        <w:tc>
          <w:tcPr>
            <w:tcW w:w="2218" w:type="pct"/>
            <w:noWrap/>
            <w:hideMark/>
          </w:tcPr>
          <w:p w14:paraId="59DD450C" w14:textId="77777777" w:rsidR="00CF3BEA" w:rsidRPr="00C436FB" w:rsidRDefault="00CF3BEA" w:rsidP="00CF3BEA">
            <w:pPr>
              <w:spacing w:line="360" w:lineRule="auto"/>
            </w:pPr>
            <w:r w:rsidRPr="00C436FB">
              <w:t xml:space="preserve">Last </w:t>
            </w:r>
            <w:r w:rsidR="00611A86">
              <w:t>w</w:t>
            </w:r>
            <w:r w:rsidRPr="00C436FB">
              <w:t xml:space="preserve">eek </w:t>
            </w:r>
            <w:r w:rsidR="00611A86">
              <w:t>in</w:t>
            </w:r>
            <w:r w:rsidRPr="00C436FB">
              <w:t xml:space="preserve"> November</w:t>
            </w:r>
          </w:p>
        </w:tc>
      </w:tr>
      <w:tr w:rsidR="00CF3BEA" w:rsidRPr="00C436FB" w14:paraId="18CBA2AB" w14:textId="77777777" w:rsidTr="00CF3BEA">
        <w:trPr>
          <w:trHeight w:val="290"/>
        </w:trPr>
        <w:tc>
          <w:tcPr>
            <w:tcW w:w="1020" w:type="pct"/>
            <w:noWrap/>
            <w:hideMark/>
          </w:tcPr>
          <w:p w14:paraId="040FB62D" w14:textId="77777777" w:rsidR="00CF3BEA" w:rsidRDefault="00CF3BEA" w:rsidP="00CF3BEA">
            <w:pPr>
              <w:spacing w:line="360" w:lineRule="auto"/>
            </w:pPr>
            <w:r w:rsidRPr="00C436FB">
              <w:t>Jigawa</w:t>
            </w:r>
          </w:p>
          <w:p w14:paraId="69CC7E10" w14:textId="77777777" w:rsidR="00CF3BEA" w:rsidRPr="00C436FB" w:rsidRDefault="00CF3BEA" w:rsidP="00CF3BEA">
            <w:pPr>
              <w:spacing w:line="360" w:lineRule="auto"/>
            </w:pPr>
          </w:p>
        </w:tc>
        <w:tc>
          <w:tcPr>
            <w:tcW w:w="1762" w:type="pct"/>
            <w:noWrap/>
            <w:hideMark/>
          </w:tcPr>
          <w:p w14:paraId="650D21F9" w14:textId="77777777" w:rsidR="00CF3BEA" w:rsidRPr="00C436FB" w:rsidRDefault="00CF3BEA" w:rsidP="00CF3BEA">
            <w:pPr>
              <w:spacing w:line="360" w:lineRule="auto"/>
            </w:pPr>
            <w:r>
              <w:t>7</w:t>
            </w:r>
            <w:r w:rsidRPr="00C436FB">
              <w:t>-</w:t>
            </w:r>
            <w:r>
              <w:t>10</w:t>
            </w:r>
            <w:r w:rsidRPr="00C436FB">
              <w:t xml:space="preserve"> November</w:t>
            </w:r>
            <w:r>
              <w:t>*</w:t>
            </w:r>
          </w:p>
        </w:tc>
        <w:tc>
          <w:tcPr>
            <w:tcW w:w="2218" w:type="pct"/>
            <w:noWrap/>
            <w:hideMark/>
          </w:tcPr>
          <w:p w14:paraId="43DD3874" w14:textId="77777777" w:rsidR="00CF3BEA" w:rsidRPr="00C436FB" w:rsidRDefault="00CF3BEA" w:rsidP="00CF3BEA">
            <w:pPr>
              <w:spacing w:line="360" w:lineRule="auto"/>
            </w:pPr>
            <w:r w:rsidRPr="00C436FB">
              <w:t xml:space="preserve">Last </w:t>
            </w:r>
            <w:r w:rsidR="00611A86">
              <w:t>w</w:t>
            </w:r>
            <w:r w:rsidRPr="00C436FB">
              <w:t xml:space="preserve">eek </w:t>
            </w:r>
            <w:r w:rsidR="00611A86">
              <w:t>in</w:t>
            </w:r>
            <w:r w:rsidRPr="00C436FB">
              <w:t xml:space="preserve"> November</w:t>
            </w:r>
          </w:p>
        </w:tc>
      </w:tr>
      <w:tr w:rsidR="00CF3BEA" w:rsidRPr="00C436FB" w14:paraId="1065820B" w14:textId="77777777" w:rsidTr="00CF3BEA">
        <w:trPr>
          <w:trHeight w:val="290"/>
        </w:trPr>
        <w:tc>
          <w:tcPr>
            <w:tcW w:w="1020" w:type="pct"/>
            <w:noWrap/>
            <w:hideMark/>
          </w:tcPr>
          <w:p w14:paraId="572C3C82" w14:textId="77777777" w:rsidR="00CF3BEA" w:rsidRDefault="00CF3BEA" w:rsidP="00CF3BEA">
            <w:pPr>
              <w:spacing w:line="360" w:lineRule="auto"/>
            </w:pPr>
            <w:r w:rsidRPr="00C436FB">
              <w:t>Kano</w:t>
            </w:r>
          </w:p>
          <w:p w14:paraId="571A1E84" w14:textId="77777777" w:rsidR="00CF3BEA" w:rsidRPr="00C436FB" w:rsidRDefault="00CF3BEA" w:rsidP="00CF3BEA">
            <w:pPr>
              <w:spacing w:line="360" w:lineRule="auto"/>
            </w:pPr>
          </w:p>
        </w:tc>
        <w:tc>
          <w:tcPr>
            <w:tcW w:w="1762" w:type="pct"/>
            <w:noWrap/>
            <w:hideMark/>
          </w:tcPr>
          <w:p w14:paraId="20119F3F" w14:textId="77777777" w:rsidR="00CF3BEA" w:rsidRPr="00C436FB" w:rsidRDefault="00CF3BEA" w:rsidP="00CF3BEA">
            <w:pPr>
              <w:spacing w:line="360" w:lineRule="auto"/>
            </w:pPr>
            <w:r w:rsidRPr="00C436FB">
              <w:t>5-8 October</w:t>
            </w:r>
          </w:p>
        </w:tc>
        <w:tc>
          <w:tcPr>
            <w:tcW w:w="2218" w:type="pct"/>
            <w:noWrap/>
            <w:hideMark/>
          </w:tcPr>
          <w:p w14:paraId="5F16FFF0" w14:textId="77777777" w:rsidR="00CF3BEA" w:rsidRPr="00C436FB" w:rsidRDefault="00CF3BEA" w:rsidP="00CF3BEA">
            <w:pPr>
              <w:spacing w:line="360" w:lineRule="auto"/>
            </w:pPr>
            <w:r w:rsidRPr="00C436FB">
              <w:t xml:space="preserve">1st </w:t>
            </w:r>
            <w:r w:rsidR="00611A86">
              <w:t>w</w:t>
            </w:r>
            <w:r w:rsidRPr="00C436FB">
              <w:t xml:space="preserve">eek </w:t>
            </w:r>
            <w:r w:rsidR="00611A86">
              <w:t>in</w:t>
            </w:r>
            <w:r w:rsidRPr="00C436FB">
              <w:t xml:space="preserve"> November</w:t>
            </w:r>
          </w:p>
        </w:tc>
      </w:tr>
      <w:tr w:rsidR="00CF3BEA" w:rsidRPr="00C436FB" w14:paraId="12F262FE" w14:textId="77777777" w:rsidTr="00CF3BEA">
        <w:trPr>
          <w:trHeight w:val="290"/>
        </w:trPr>
        <w:tc>
          <w:tcPr>
            <w:tcW w:w="1020" w:type="pct"/>
            <w:noWrap/>
            <w:hideMark/>
          </w:tcPr>
          <w:p w14:paraId="213A8A08" w14:textId="77777777" w:rsidR="00CF3BEA" w:rsidRDefault="00CF3BEA" w:rsidP="00CF3BEA">
            <w:pPr>
              <w:spacing w:line="360" w:lineRule="auto"/>
            </w:pPr>
            <w:r w:rsidRPr="00C436FB">
              <w:t>Katsina</w:t>
            </w:r>
          </w:p>
          <w:p w14:paraId="5DCE2AEC" w14:textId="77777777" w:rsidR="00CF3BEA" w:rsidRPr="00C436FB" w:rsidRDefault="00CF3BEA" w:rsidP="00CF3BEA">
            <w:pPr>
              <w:spacing w:line="360" w:lineRule="auto"/>
            </w:pPr>
          </w:p>
        </w:tc>
        <w:tc>
          <w:tcPr>
            <w:tcW w:w="1762" w:type="pct"/>
            <w:noWrap/>
            <w:hideMark/>
          </w:tcPr>
          <w:p w14:paraId="49518DA7" w14:textId="77777777" w:rsidR="00CF3BEA" w:rsidRPr="00C436FB" w:rsidRDefault="00CF3BEA" w:rsidP="00CF3BEA">
            <w:pPr>
              <w:spacing w:line="360" w:lineRule="auto"/>
            </w:pPr>
            <w:r>
              <w:t>7-10 October</w:t>
            </w:r>
          </w:p>
        </w:tc>
        <w:tc>
          <w:tcPr>
            <w:tcW w:w="2218" w:type="pct"/>
            <w:noWrap/>
            <w:hideMark/>
          </w:tcPr>
          <w:p w14:paraId="58B42B6A" w14:textId="77777777" w:rsidR="00CF3BEA" w:rsidRPr="00C436FB" w:rsidRDefault="00CF3BEA" w:rsidP="00CF3BEA">
            <w:pPr>
              <w:spacing w:line="360" w:lineRule="auto"/>
            </w:pPr>
            <w:r w:rsidRPr="00C436FB">
              <w:t xml:space="preserve">1st </w:t>
            </w:r>
            <w:r w:rsidR="00611A86">
              <w:t>w</w:t>
            </w:r>
            <w:r w:rsidRPr="00C436FB">
              <w:t xml:space="preserve">eek </w:t>
            </w:r>
            <w:r w:rsidR="00611A86">
              <w:t>in</w:t>
            </w:r>
            <w:r w:rsidRPr="00C436FB">
              <w:t xml:space="preserve"> November</w:t>
            </w:r>
          </w:p>
        </w:tc>
      </w:tr>
      <w:tr w:rsidR="00CF3BEA" w:rsidRPr="00C436FB" w14:paraId="5955D49E" w14:textId="77777777" w:rsidTr="00CF3BEA">
        <w:trPr>
          <w:trHeight w:val="290"/>
        </w:trPr>
        <w:tc>
          <w:tcPr>
            <w:tcW w:w="1020" w:type="pct"/>
            <w:noWrap/>
            <w:hideMark/>
          </w:tcPr>
          <w:p w14:paraId="77CC69CF" w14:textId="77777777" w:rsidR="00CF3BEA" w:rsidRDefault="00CF3BEA" w:rsidP="00CF3BEA">
            <w:pPr>
              <w:spacing w:line="360" w:lineRule="auto"/>
            </w:pPr>
            <w:r w:rsidRPr="00C436FB">
              <w:t>Kebbi</w:t>
            </w:r>
          </w:p>
          <w:p w14:paraId="78042B99" w14:textId="77777777" w:rsidR="00CF3BEA" w:rsidRPr="00C436FB" w:rsidRDefault="00CF3BEA" w:rsidP="00CF3BEA">
            <w:pPr>
              <w:spacing w:line="360" w:lineRule="auto"/>
            </w:pPr>
          </w:p>
        </w:tc>
        <w:tc>
          <w:tcPr>
            <w:tcW w:w="1762" w:type="pct"/>
            <w:noWrap/>
            <w:hideMark/>
          </w:tcPr>
          <w:p w14:paraId="53098118" w14:textId="77777777" w:rsidR="00CF3BEA" w:rsidRPr="00C436FB" w:rsidRDefault="00CF3BEA" w:rsidP="00CF3BEA">
            <w:pPr>
              <w:spacing w:line="360" w:lineRule="auto"/>
            </w:pPr>
            <w:r>
              <w:t>7</w:t>
            </w:r>
            <w:r w:rsidRPr="00C436FB">
              <w:t>-</w:t>
            </w:r>
            <w:r>
              <w:t>10</w:t>
            </w:r>
            <w:r w:rsidRPr="00C436FB">
              <w:t xml:space="preserve"> November</w:t>
            </w:r>
            <w:r>
              <w:t>*</w:t>
            </w:r>
          </w:p>
        </w:tc>
        <w:tc>
          <w:tcPr>
            <w:tcW w:w="2218" w:type="pct"/>
            <w:noWrap/>
            <w:hideMark/>
          </w:tcPr>
          <w:p w14:paraId="2EAA60F1" w14:textId="77777777" w:rsidR="00CF3BEA" w:rsidRPr="00C436FB" w:rsidRDefault="00CF3BEA" w:rsidP="00CF3BEA">
            <w:pPr>
              <w:spacing w:line="360" w:lineRule="auto"/>
            </w:pPr>
            <w:r w:rsidRPr="00C436FB">
              <w:t xml:space="preserve">Last </w:t>
            </w:r>
            <w:r w:rsidR="00611A86">
              <w:t>w</w:t>
            </w:r>
            <w:r w:rsidRPr="00C436FB">
              <w:t xml:space="preserve">eek </w:t>
            </w:r>
            <w:r w:rsidR="00611A86">
              <w:t>in</w:t>
            </w:r>
            <w:r w:rsidRPr="00C436FB">
              <w:t xml:space="preserve"> November</w:t>
            </w:r>
          </w:p>
        </w:tc>
      </w:tr>
      <w:tr w:rsidR="00CF3BEA" w:rsidRPr="00C436FB" w14:paraId="6F32210B" w14:textId="77777777" w:rsidTr="00CF3BEA">
        <w:trPr>
          <w:trHeight w:val="290"/>
        </w:trPr>
        <w:tc>
          <w:tcPr>
            <w:tcW w:w="1020" w:type="pct"/>
            <w:noWrap/>
            <w:hideMark/>
          </w:tcPr>
          <w:p w14:paraId="4CCA8DC9" w14:textId="77777777" w:rsidR="00CF3BEA" w:rsidRDefault="00CF3BEA" w:rsidP="00CF3BEA">
            <w:pPr>
              <w:spacing w:line="360" w:lineRule="auto"/>
            </w:pPr>
            <w:r w:rsidRPr="00C436FB">
              <w:t>Sokoto</w:t>
            </w:r>
          </w:p>
          <w:p w14:paraId="11AE3070" w14:textId="77777777" w:rsidR="00CF3BEA" w:rsidRPr="00C436FB" w:rsidRDefault="00CF3BEA" w:rsidP="00CF3BEA">
            <w:pPr>
              <w:spacing w:line="360" w:lineRule="auto"/>
            </w:pPr>
          </w:p>
        </w:tc>
        <w:tc>
          <w:tcPr>
            <w:tcW w:w="1762" w:type="pct"/>
            <w:noWrap/>
            <w:hideMark/>
          </w:tcPr>
          <w:p w14:paraId="6284F90D" w14:textId="77777777" w:rsidR="00CF3BEA" w:rsidRPr="00C436FB" w:rsidRDefault="00CF3BEA" w:rsidP="00CF3BEA">
            <w:pPr>
              <w:spacing w:line="360" w:lineRule="auto"/>
            </w:pPr>
            <w:r w:rsidRPr="00C436FB">
              <w:t>10-13October</w:t>
            </w:r>
          </w:p>
        </w:tc>
        <w:tc>
          <w:tcPr>
            <w:tcW w:w="2218" w:type="pct"/>
            <w:noWrap/>
            <w:hideMark/>
          </w:tcPr>
          <w:p w14:paraId="225342B0" w14:textId="77777777" w:rsidR="00CF3BEA" w:rsidRPr="00C436FB" w:rsidRDefault="00CF3BEA" w:rsidP="00CF3BEA">
            <w:pPr>
              <w:spacing w:line="360" w:lineRule="auto"/>
            </w:pPr>
            <w:r w:rsidRPr="00C436FB">
              <w:t xml:space="preserve">1st </w:t>
            </w:r>
            <w:r w:rsidR="00611A86">
              <w:t>w</w:t>
            </w:r>
            <w:r w:rsidRPr="00C436FB">
              <w:t xml:space="preserve">eek </w:t>
            </w:r>
            <w:r w:rsidR="00611A86">
              <w:t>in</w:t>
            </w:r>
            <w:r w:rsidRPr="00C436FB">
              <w:t xml:space="preserve"> November</w:t>
            </w:r>
          </w:p>
        </w:tc>
      </w:tr>
      <w:tr w:rsidR="00CF3BEA" w:rsidRPr="00C436FB" w14:paraId="1F871B85" w14:textId="77777777" w:rsidTr="00CF3BEA">
        <w:trPr>
          <w:trHeight w:val="290"/>
        </w:trPr>
        <w:tc>
          <w:tcPr>
            <w:tcW w:w="1020" w:type="pct"/>
            <w:noWrap/>
            <w:hideMark/>
          </w:tcPr>
          <w:p w14:paraId="712A8B4B" w14:textId="77777777" w:rsidR="00CF3BEA" w:rsidRDefault="00CF3BEA" w:rsidP="00CF3BEA">
            <w:pPr>
              <w:spacing w:line="360" w:lineRule="auto"/>
            </w:pPr>
            <w:r w:rsidRPr="00C436FB">
              <w:t>Yobe</w:t>
            </w:r>
          </w:p>
          <w:p w14:paraId="082EB675" w14:textId="77777777" w:rsidR="00CF3BEA" w:rsidRPr="00C436FB" w:rsidRDefault="00CF3BEA" w:rsidP="00CF3BEA">
            <w:pPr>
              <w:spacing w:line="360" w:lineRule="auto"/>
            </w:pPr>
          </w:p>
        </w:tc>
        <w:tc>
          <w:tcPr>
            <w:tcW w:w="1762" w:type="pct"/>
            <w:noWrap/>
            <w:hideMark/>
          </w:tcPr>
          <w:p w14:paraId="031A63E0" w14:textId="77777777" w:rsidR="00CF3BEA" w:rsidRPr="00C436FB" w:rsidRDefault="00CF3BEA" w:rsidP="00302443">
            <w:pPr>
              <w:tabs>
                <w:tab w:val="left" w:pos="2130"/>
              </w:tabs>
              <w:spacing w:line="360" w:lineRule="auto"/>
            </w:pPr>
            <w:r>
              <w:t>9-12 October</w:t>
            </w:r>
            <w:r w:rsidR="00302443">
              <w:tab/>
            </w:r>
          </w:p>
        </w:tc>
        <w:tc>
          <w:tcPr>
            <w:tcW w:w="2218" w:type="pct"/>
            <w:noWrap/>
            <w:hideMark/>
          </w:tcPr>
          <w:p w14:paraId="267632C9" w14:textId="77777777" w:rsidR="00CF3BEA" w:rsidRPr="00C436FB" w:rsidRDefault="00CF3BEA" w:rsidP="00CF3BEA">
            <w:pPr>
              <w:spacing w:line="360" w:lineRule="auto"/>
            </w:pPr>
            <w:r w:rsidRPr="00C436FB">
              <w:t xml:space="preserve">1st </w:t>
            </w:r>
            <w:r w:rsidR="00611A86">
              <w:t>w</w:t>
            </w:r>
            <w:r w:rsidRPr="00C436FB">
              <w:t xml:space="preserve">eek </w:t>
            </w:r>
            <w:r w:rsidR="00611A86">
              <w:t>in</w:t>
            </w:r>
            <w:r w:rsidRPr="00C436FB">
              <w:t xml:space="preserve"> November</w:t>
            </w:r>
          </w:p>
        </w:tc>
      </w:tr>
      <w:tr w:rsidR="00CF3BEA" w:rsidRPr="00C436FB" w14:paraId="14585400" w14:textId="77777777" w:rsidTr="00CF3BEA">
        <w:trPr>
          <w:trHeight w:val="290"/>
        </w:trPr>
        <w:tc>
          <w:tcPr>
            <w:tcW w:w="1020" w:type="pct"/>
            <w:noWrap/>
            <w:hideMark/>
          </w:tcPr>
          <w:p w14:paraId="1D378746" w14:textId="77777777" w:rsidR="00CF3BEA" w:rsidRDefault="00CF3BEA" w:rsidP="00CF3BEA">
            <w:pPr>
              <w:spacing w:line="360" w:lineRule="auto"/>
            </w:pPr>
            <w:r w:rsidRPr="00C436FB">
              <w:t>Zamfara</w:t>
            </w:r>
          </w:p>
          <w:p w14:paraId="764D469E" w14:textId="77777777" w:rsidR="00CF3BEA" w:rsidRPr="00C436FB" w:rsidRDefault="00CF3BEA" w:rsidP="00CF3BEA">
            <w:pPr>
              <w:spacing w:line="360" w:lineRule="auto"/>
            </w:pPr>
          </w:p>
        </w:tc>
        <w:tc>
          <w:tcPr>
            <w:tcW w:w="1762" w:type="pct"/>
            <w:noWrap/>
            <w:hideMark/>
          </w:tcPr>
          <w:p w14:paraId="0D9B1277" w14:textId="77777777" w:rsidR="00CF3BEA" w:rsidRPr="00C436FB" w:rsidRDefault="00CF3BEA" w:rsidP="00CF3BEA">
            <w:pPr>
              <w:spacing w:line="360" w:lineRule="auto"/>
            </w:pPr>
            <w:r w:rsidRPr="00C436FB">
              <w:t>End of October</w:t>
            </w:r>
            <w:r>
              <w:t>*</w:t>
            </w:r>
          </w:p>
        </w:tc>
        <w:tc>
          <w:tcPr>
            <w:tcW w:w="2218" w:type="pct"/>
            <w:noWrap/>
            <w:hideMark/>
          </w:tcPr>
          <w:p w14:paraId="11200479" w14:textId="77777777" w:rsidR="00CF3BEA" w:rsidRPr="00C436FB" w:rsidRDefault="00CF3BEA" w:rsidP="00CF3BEA">
            <w:pPr>
              <w:spacing w:line="360" w:lineRule="auto"/>
            </w:pPr>
            <w:r w:rsidRPr="00C436FB">
              <w:t xml:space="preserve">Last </w:t>
            </w:r>
            <w:r w:rsidR="00611A86">
              <w:t>w</w:t>
            </w:r>
            <w:r w:rsidRPr="00C436FB">
              <w:t xml:space="preserve">eek </w:t>
            </w:r>
            <w:r w:rsidR="00611A86">
              <w:t>in</w:t>
            </w:r>
            <w:r w:rsidRPr="00C436FB">
              <w:t xml:space="preserve"> November</w:t>
            </w:r>
          </w:p>
        </w:tc>
      </w:tr>
    </w:tbl>
    <w:p w14:paraId="1B9B46C3" w14:textId="77777777" w:rsidR="00C436FB" w:rsidRDefault="00CF3BEA" w:rsidP="00CF3BEA">
      <w:r>
        <w:t>*</w:t>
      </w:r>
      <w:r w:rsidRPr="00CF3BEA">
        <w:t>Tentative dates depending on confirmation by the states or availability of SMC commodities.</w:t>
      </w:r>
    </w:p>
    <w:p w14:paraId="2EF67A9C" w14:textId="77777777" w:rsidR="00CD0D1F" w:rsidRDefault="00CD0D1F" w:rsidP="00CD0D1F"/>
    <w:p w14:paraId="40CA8F5C" w14:textId="25646311" w:rsidR="00A53502" w:rsidRPr="00691D2D" w:rsidRDefault="007A217F" w:rsidP="00CD0D1F">
      <w:pPr>
        <w:pStyle w:val="Heading1"/>
        <w:rPr>
          <w:lang w:val="fr-FR"/>
        </w:rPr>
      </w:pPr>
      <w:bookmarkStart w:id="30" w:name="_Toc53960800"/>
      <w:r w:rsidRPr="00691D2D">
        <w:rPr>
          <w:lang w:val="fr-FR"/>
        </w:rPr>
        <w:t xml:space="preserve">Annex </w:t>
      </w:r>
      <w:r w:rsidR="00CF1D0C" w:rsidRPr="007A217F">
        <w:rPr>
          <w:lang w:val="fr-FR"/>
        </w:rPr>
        <w:t>2 :</w:t>
      </w:r>
      <w:r w:rsidR="00CF1D0C">
        <w:rPr>
          <w:lang w:val="fr-FR"/>
        </w:rPr>
        <w:t xml:space="preserve"> 2020</w:t>
      </w:r>
      <w:r w:rsidRPr="00691D2D">
        <w:rPr>
          <w:lang w:val="fr-FR"/>
        </w:rPr>
        <w:t xml:space="preserve"> SMC Coverage Survey Questionnaire</w:t>
      </w:r>
      <w:bookmarkEnd w:id="30"/>
    </w:p>
    <w:bookmarkStart w:id="31" w:name="_MON_1667509621"/>
    <w:bookmarkEnd w:id="31"/>
    <w:p w14:paraId="278EAF1C" w14:textId="05FE8698" w:rsidR="00A53502" w:rsidRDefault="009D2024" w:rsidP="00691D2D">
      <w:pPr>
        <w:rPr>
          <w:rFonts w:eastAsia="Calibri"/>
        </w:rPr>
      </w:pPr>
      <w:r>
        <w:rPr>
          <w:rFonts w:ascii="Calibri" w:eastAsia="Calibri" w:hAnsi="Calibri" w:cs="Calibri"/>
          <w:b/>
          <w:color w:val="000000"/>
          <w:sz w:val="22"/>
          <w:szCs w:val="22"/>
        </w:rPr>
        <w:object w:dxaOrig="1504" w:dyaOrig="982" w14:anchorId="71A98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3" o:title=""/>
          </v:shape>
          <o:OLEObject Type="Embed" ProgID="Word.Document.12" ShapeID="_x0000_i1025" DrawAspect="Icon" ObjectID="_1689164527" r:id="rId14">
            <o:FieldCodes>\s</o:FieldCodes>
          </o:OLEObject>
        </w:object>
      </w:r>
    </w:p>
    <w:p w14:paraId="27E07EB8" w14:textId="77777777" w:rsidR="00861EC8" w:rsidRDefault="00355305" w:rsidP="00AA69C2">
      <w:pPr>
        <w:pStyle w:val="Heading1"/>
        <w:rPr>
          <w:rFonts w:eastAsia="Calibri"/>
        </w:rPr>
      </w:pPr>
      <w:bookmarkStart w:id="32" w:name="_Annex_3"/>
      <w:bookmarkStart w:id="33" w:name="_Toc53960801"/>
      <w:bookmarkEnd w:id="32"/>
      <w:r>
        <w:rPr>
          <w:rFonts w:eastAsia="Calibri"/>
        </w:rPr>
        <w:t>Annex 3</w:t>
      </w:r>
      <w:r w:rsidR="00F63402">
        <w:rPr>
          <w:rFonts w:eastAsia="Calibri"/>
        </w:rPr>
        <w:t>: SMC &amp; COVID-19 Operational Guidance</w:t>
      </w:r>
      <w:bookmarkEnd w:id="33"/>
    </w:p>
    <w:p w14:paraId="6A6A1F80" w14:textId="458990E9" w:rsidR="00355305" w:rsidRDefault="006C35EB" w:rsidP="00355305">
      <w:pPr>
        <w:rPr>
          <w:rFonts w:eastAsia="Calibri"/>
        </w:rPr>
      </w:pPr>
      <w:r w:rsidRPr="007A217F">
        <w:rPr>
          <w:rFonts w:eastAsia="Calibri"/>
        </w:rPr>
        <w:object w:dxaOrig="1504" w:dyaOrig="982" w14:anchorId="7E09826B">
          <v:shape id="_x0000_i1026" type="#_x0000_t75" style="width:75pt;height:49.5pt" o:ole="">
            <v:imagedata r:id="rId15" o:title=""/>
          </v:shape>
          <o:OLEObject Type="Embed" ProgID="AcroExch.Document.DC" ShapeID="_x0000_i1026" DrawAspect="Icon" ObjectID="_1689164528" r:id="rId16"/>
        </w:object>
      </w:r>
    </w:p>
    <w:p w14:paraId="49891096" w14:textId="2FB42A2A" w:rsidR="00B40E8A" w:rsidRDefault="00B40E8A" w:rsidP="00B40E8A">
      <w:pPr>
        <w:jc w:val="center"/>
        <w:rPr>
          <w:rFonts w:eastAsia="Calibri"/>
        </w:rPr>
      </w:pPr>
      <w:r w:rsidRPr="00B40E8A">
        <w:rPr>
          <w:rFonts w:eastAsia="Calibri"/>
          <w:highlight w:val="yellow"/>
        </w:rPr>
        <w:lastRenderedPageBreak/>
        <w:t>Comments to note</w:t>
      </w:r>
    </w:p>
    <w:p w14:paraId="02AFCC0B" w14:textId="4565DF1D" w:rsidR="00B40E8A" w:rsidRDefault="000079E7" w:rsidP="00355305">
      <w:pPr>
        <w:rPr>
          <w:color w:val="FF0000"/>
          <w:shd w:val="clear" w:color="auto" w:fill="FFFFFF"/>
        </w:rPr>
      </w:pPr>
      <w:r>
        <w:rPr>
          <w:color w:val="FF0000"/>
          <w:shd w:val="clear" w:color="auto" w:fill="FFFFFF"/>
        </w:rPr>
        <w:t>The protocol requires minor edits as listed below to be noted. MC will work with the selected vendor to firm up the list of indicators and approach to data analysis."</w:t>
      </w:r>
    </w:p>
    <w:p w14:paraId="2917A12D" w14:textId="0A0BB6A8" w:rsidR="00B40E8A" w:rsidRDefault="00B40E8A" w:rsidP="00355305">
      <w:pPr>
        <w:rPr>
          <w:rFonts w:eastAsia="Calibri"/>
          <w:color w:val="FF0000"/>
        </w:rPr>
      </w:pPr>
      <w:r>
        <w:rPr>
          <w:rFonts w:eastAsia="Calibri"/>
          <w:color w:val="FF0000"/>
        </w:rPr>
        <w:t>List of observations:</w:t>
      </w:r>
    </w:p>
    <w:p w14:paraId="08A19052" w14:textId="77777777" w:rsidR="00B40E8A" w:rsidRPr="00B40E8A" w:rsidRDefault="00B40E8A" w:rsidP="00B40E8A">
      <w:pPr>
        <w:numPr>
          <w:ilvl w:val="0"/>
          <w:numId w:val="32"/>
        </w:numPr>
        <w:rPr>
          <w:rFonts w:eastAsia="Calibri"/>
          <w:color w:val="FF0000"/>
        </w:rPr>
      </w:pPr>
      <w:r w:rsidRPr="00B40E8A">
        <w:rPr>
          <w:rFonts w:eastAsia="Calibri"/>
          <w:color w:val="FF0000"/>
        </w:rPr>
        <w:t>SMC distribution in 2021 will be implemented over 5 cycles in some states such as Nasarawa, Kogi, and Plateau (according to the malaria risk stratification and rainfall patterns). The document currently has specifications only for 4 cycles. </w:t>
      </w:r>
    </w:p>
    <w:p w14:paraId="392A5CDA" w14:textId="77777777" w:rsidR="00B40E8A" w:rsidRPr="00B40E8A" w:rsidRDefault="00B40E8A" w:rsidP="00B40E8A">
      <w:pPr>
        <w:numPr>
          <w:ilvl w:val="0"/>
          <w:numId w:val="32"/>
        </w:numPr>
        <w:rPr>
          <w:rFonts w:eastAsia="Calibri"/>
          <w:color w:val="FF0000"/>
        </w:rPr>
      </w:pPr>
      <w:r w:rsidRPr="00B40E8A">
        <w:rPr>
          <w:rFonts w:eastAsia="Calibri"/>
          <w:color w:val="FF0000"/>
        </w:rPr>
        <w:t>A number of variables/indicators have to be redefined to ensure the intended measurements are correctly captured.</w:t>
      </w:r>
    </w:p>
    <w:p w14:paraId="2938E07A" w14:textId="77777777" w:rsidR="00B40E8A" w:rsidRPr="00B40E8A" w:rsidRDefault="00B40E8A" w:rsidP="00B40E8A">
      <w:pPr>
        <w:numPr>
          <w:ilvl w:val="0"/>
          <w:numId w:val="32"/>
        </w:numPr>
        <w:rPr>
          <w:rFonts w:eastAsia="Calibri"/>
          <w:color w:val="FF0000"/>
        </w:rPr>
      </w:pPr>
      <w:r w:rsidRPr="00B40E8A">
        <w:rPr>
          <w:rFonts w:eastAsia="Calibri"/>
          <w:color w:val="FF0000"/>
        </w:rPr>
        <w:t>Clarifications/modification needed for the right denominators to be used for several variables e.g., card retention, other variables sub-set by households visited by CDDs (instead of the entire sampled eligible children) </w:t>
      </w:r>
    </w:p>
    <w:p w14:paraId="06087487" w14:textId="1F5E7B81" w:rsidR="00B40E8A" w:rsidRPr="00B40E8A" w:rsidRDefault="00B40E8A" w:rsidP="00B40E8A">
      <w:pPr>
        <w:numPr>
          <w:ilvl w:val="0"/>
          <w:numId w:val="32"/>
        </w:numPr>
        <w:rPr>
          <w:rFonts w:eastAsia="Calibri"/>
          <w:color w:val="FF0000"/>
        </w:rPr>
      </w:pPr>
      <w:r w:rsidRPr="00B40E8A">
        <w:rPr>
          <w:rFonts w:eastAsia="Calibri"/>
          <w:color w:val="FF0000"/>
        </w:rPr>
        <w:t>Some variables which should be measured are overtly missing e.g., overall ADR rate (protocol only specifies by type).</w:t>
      </w:r>
    </w:p>
    <w:p w14:paraId="0D6B081B" w14:textId="2A2CB9A5" w:rsidR="00B40E8A" w:rsidRPr="00B40E8A" w:rsidRDefault="00B40E8A" w:rsidP="00B40E8A">
      <w:pPr>
        <w:numPr>
          <w:ilvl w:val="0"/>
          <w:numId w:val="32"/>
        </w:numPr>
        <w:jc w:val="center"/>
        <w:rPr>
          <w:rFonts w:eastAsia="Calibri"/>
          <w:color w:val="FF0000"/>
        </w:rPr>
      </w:pPr>
      <w:r w:rsidRPr="00B40E8A">
        <w:rPr>
          <w:rFonts w:eastAsia="Calibri"/>
          <w:color w:val="FF0000"/>
        </w:rPr>
        <w:t>Schedule of coverage survey implementation needs to be updated for clarity</w:t>
      </w:r>
      <w:r>
        <w:rPr>
          <w:rFonts w:eastAsia="Calibri"/>
          <w:color w:val="FF0000"/>
        </w:rPr>
        <w:t xml:space="preserve"> or made generic for yearly use and to include additional new states.</w:t>
      </w:r>
      <w:bookmarkStart w:id="34" w:name="_GoBack"/>
      <w:bookmarkEnd w:id="34"/>
    </w:p>
    <w:p w14:paraId="7E6AF6B6" w14:textId="77777777" w:rsidR="00B40E8A" w:rsidRDefault="00B40E8A" w:rsidP="00355305">
      <w:pPr>
        <w:rPr>
          <w:rFonts w:eastAsia="Calibri"/>
          <w:color w:val="FF0000"/>
        </w:rPr>
      </w:pPr>
    </w:p>
    <w:p w14:paraId="209B7B12" w14:textId="77777777" w:rsidR="00B40E8A" w:rsidRPr="00B40E8A" w:rsidRDefault="00B40E8A" w:rsidP="00355305">
      <w:pPr>
        <w:rPr>
          <w:rFonts w:eastAsia="Calibri"/>
          <w:color w:val="FF0000"/>
        </w:rPr>
      </w:pPr>
    </w:p>
    <w:sectPr w:rsidR="00B40E8A" w:rsidRPr="00B40E8A" w:rsidSect="007A217F">
      <w:pgSz w:w="12240" w:h="15840"/>
      <w:pgMar w:top="1440"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41B0D" w16cex:dateUtc="2020-11-21T22:02:00Z"/>
  <w16cex:commentExtensible w16cex:durableId="23641C7E" w16cex:dateUtc="2020-11-21T22:08:00Z"/>
  <w16cex:commentExtensible w16cex:durableId="23641D4C" w16cex:dateUtc="2020-11-21T22:12:00Z"/>
  <w16cex:commentExtensible w16cex:durableId="23641DC0" w16cex:dateUtc="2020-11-21T22:14:00Z"/>
  <w16cex:commentExtensible w16cex:durableId="23641E1E" w16cex:dateUtc="2020-11-21T22:15:00Z"/>
  <w16cex:commentExtensible w16cex:durableId="23641ECA" w16cex:dateUtc="2020-11-21T22:18:00Z"/>
  <w16cex:commentExtensible w16cex:durableId="23642135" w16cex:dateUtc="2020-11-21T22:28:00Z"/>
  <w16cex:commentExtensible w16cex:durableId="2364216E" w16cex:dateUtc="2020-11-21T22:29:00Z"/>
  <w16cex:commentExtensible w16cex:durableId="236425E5" w16cex:dateUtc="2020-11-21T22:48:00Z"/>
  <w16cex:commentExtensible w16cex:durableId="23642468" w16cex:dateUtc="2020-11-21T22:42:00Z"/>
  <w16cex:commentExtensible w16cex:durableId="23642676" w16cex:dateUtc="2020-11-21T22:51:00Z"/>
  <w16cex:commentExtensible w16cex:durableId="23642A9D" w16cex:dateUtc="2020-11-21T23:09:00Z"/>
  <w16cex:commentExtensible w16cex:durableId="236427CE" w16cex:dateUtc="2020-11-21T22:57:00Z"/>
  <w16cex:commentExtensible w16cex:durableId="236427CB" w16cex:dateUtc="2020-11-21T22:56:00Z"/>
  <w16cex:commentExtensible w16cex:durableId="23642D76" w16cex:dateUtc="2020-11-21T2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2810BF" w16cid:durableId="234B9311"/>
  <w16cid:commentId w16cid:paraId="4B6418D7" w16cid:durableId="23641158"/>
  <w16cid:commentId w16cid:paraId="3A720F0A" w16cid:durableId="23641159"/>
  <w16cid:commentId w16cid:paraId="76CA3523" w16cid:durableId="2364115A"/>
  <w16cid:commentId w16cid:paraId="06F1A778" w16cid:durableId="234B4721"/>
  <w16cid:commentId w16cid:paraId="5C6EE789" w16cid:durableId="23641B0D"/>
  <w16cid:commentId w16cid:paraId="7FB25B0A" w16cid:durableId="234B462E"/>
  <w16cid:commentId w16cid:paraId="3569A69E" w16cid:durableId="234BBF18"/>
  <w16cid:commentId w16cid:paraId="785B9487" w16cid:durableId="234B462F"/>
  <w16cid:commentId w16cid:paraId="2609864C" w16cid:durableId="234BBEFE"/>
  <w16cid:commentId w16cid:paraId="0A434045" w16cid:durableId="234D0E98"/>
  <w16cid:commentId w16cid:paraId="201AE76A" w16cid:durableId="234D0E99"/>
  <w16cid:commentId w16cid:paraId="56B7B2E8" w16cid:durableId="23641162"/>
  <w16cid:commentId w16cid:paraId="6AC00088" w16cid:durableId="234B4630"/>
  <w16cid:commentId w16cid:paraId="0E8A0A7A" w16cid:durableId="234BBF7B"/>
  <w16cid:commentId w16cid:paraId="1C128884" w16cid:durableId="234BCBF3"/>
  <w16cid:commentId w16cid:paraId="62E14F06" w16cid:durableId="234B4631"/>
  <w16cid:commentId w16cid:paraId="78A18F6A" w16cid:durableId="234B4632"/>
  <w16cid:commentId w16cid:paraId="6907C779" w16cid:durableId="234B4633"/>
  <w16cid:commentId w16cid:paraId="6A7C516F" w16cid:durableId="234B4818"/>
  <w16cid:commentId w16cid:paraId="3E4CFF6B" w16cid:durableId="234B4634"/>
  <w16cid:commentId w16cid:paraId="2AEF7B85" w16cid:durableId="234B491C"/>
  <w16cid:commentId w16cid:paraId="180FC2BB" w16cid:durableId="2364116C"/>
  <w16cid:commentId w16cid:paraId="40627A61" w16cid:durableId="234B4635"/>
  <w16cid:commentId w16cid:paraId="1BB830C9" w16cid:durableId="2364116E"/>
  <w16cid:commentId w16cid:paraId="4EAB6E29" w16cid:durableId="2364116F"/>
  <w16cid:commentId w16cid:paraId="1CFDA5A5" w16cid:durableId="234B4636"/>
  <w16cid:commentId w16cid:paraId="49C86C94" w16cid:durableId="234B4637"/>
  <w16cid:commentId w16cid:paraId="7E12187F" w16cid:durableId="23641C7E"/>
  <w16cid:commentId w16cid:paraId="28FA481A" w16cid:durableId="234B4638"/>
  <w16cid:commentId w16cid:paraId="21EC37C8" w16cid:durableId="23641D4C"/>
  <w16cid:commentId w16cid:paraId="5C4D6752" w16cid:durableId="23641173"/>
  <w16cid:commentId w16cid:paraId="6749EDC2" w16cid:durableId="234BC006"/>
  <w16cid:commentId w16cid:paraId="13B8E23E" w16cid:durableId="23641DC0"/>
  <w16cid:commentId w16cid:paraId="24ACDB39" w16cid:durableId="234B4639"/>
  <w16cid:commentId w16cid:paraId="40EF7265" w16cid:durableId="23641E1E"/>
  <w16cid:commentId w16cid:paraId="7171FFA9" w16cid:durableId="234BC8A3"/>
  <w16cid:commentId w16cid:paraId="69EEF7F6" w16cid:durableId="23641177"/>
  <w16cid:commentId w16cid:paraId="7DE9C7AE" w16cid:durableId="234C0D42"/>
  <w16cid:commentId w16cid:paraId="26FAD0E6" w16cid:durableId="23641ECA"/>
  <w16cid:commentId w16cid:paraId="1662E204" w16cid:durableId="234B463A"/>
  <w16cid:commentId w16cid:paraId="31C2D204" w16cid:durableId="23642135"/>
  <w16cid:commentId w16cid:paraId="6A8571CB" w16cid:durableId="234B463B"/>
  <w16cid:commentId w16cid:paraId="378FB8FF" w16cid:durableId="2364216E"/>
  <w16cid:commentId w16cid:paraId="1C6B5762" w16cid:durableId="234B4CEF"/>
  <w16cid:commentId w16cid:paraId="0FAFBEF6" w16cid:durableId="234C0C35"/>
  <w16cid:commentId w16cid:paraId="418163F5" w16cid:durableId="236425E5"/>
  <w16cid:commentId w16cid:paraId="6749EAC6" w16cid:durableId="234C0C92"/>
  <w16cid:commentId w16cid:paraId="758B4F62" w16cid:durableId="23642468"/>
  <w16cid:commentId w16cid:paraId="5D040DE3" w16cid:durableId="234B4D2B"/>
  <w16cid:commentId w16cid:paraId="59A16A9F" w16cid:durableId="2364117F"/>
  <w16cid:commentId w16cid:paraId="300DD697" w16cid:durableId="23641180"/>
  <w16cid:commentId w16cid:paraId="3C9970AC" w16cid:durableId="23642676"/>
  <w16cid:commentId w16cid:paraId="7F959BA5" w16cid:durableId="234B463C"/>
  <w16cid:commentId w16cid:paraId="29811582" w16cid:durableId="234B4E08"/>
  <w16cid:commentId w16cid:paraId="5822ECC6" w16cid:durableId="234B4F29"/>
  <w16cid:commentId w16cid:paraId="3CC8DC8B" w16cid:durableId="23642A9D"/>
  <w16cid:commentId w16cid:paraId="4EE24BE2" w16cid:durableId="234B463D"/>
  <w16cid:commentId w16cid:paraId="5A8602C7" w16cid:durableId="234B463E"/>
  <w16cid:commentId w16cid:paraId="0465AF1F" w16cid:durableId="236427CE"/>
  <w16cid:commentId w16cid:paraId="622578CA" w16cid:durableId="234B463F"/>
  <w16cid:commentId w16cid:paraId="00C6F58C" w16cid:durableId="236427CB"/>
  <w16cid:commentId w16cid:paraId="5A9D8A94" w16cid:durableId="23641187"/>
  <w16cid:commentId w16cid:paraId="0352DB66" w16cid:durableId="23641188"/>
  <w16cid:commentId w16cid:paraId="246D0D1D" w16cid:durableId="23641189"/>
  <w16cid:commentId w16cid:paraId="79ABAC8E" w16cid:durableId="23642D76"/>
  <w16cid:commentId w16cid:paraId="6FA122C2" w16cid:durableId="2364118A"/>
  <w16cid:commentId w16cid:paraId="5297B7D2" w16cid:durableId="234B4640"/>
  <w16cid:commentId w16cid:paraId="2173D659" w16cid:durableId="234B4641"/>
  <w16cid:commentId w16cid:paraId="73F2CCC0" w16cid:durableId="234B4642"/>
  <w16cid:commentId w16cid:paraId="44A5D956" w16cid:durableId="234B4643"/>
  <w16cid:commentId w16cid:paraId="298F8E30" w16cid:durableId="234B4644"/>
  <w16cid:commentId w16cid:paraId="034E8808" w16cid:durableId="234B4645"/>
  <w16cid:commentId w16cid:paraId="76C53E0B" w16cid:durableId="234B4646"/>
  <w16cid:commentId w16cid:paraId="07EA3379" w16cid:durableId="234B4647"/>
  <w16cid:commentId w16cid:paraId="3EC55CBC" w16cid:durableId="234B4648"/>
  <w16cid:commentId w16cid:paraId="34835F7B" w16cid:durableId="234B5142"/>
  <w16cid:commentId w16cid:paraId="2EF2BA97" w16cid:durableId="234B4649"/>
  <w16cid:commentId w16cid:paraId="30ED0295" w16cid:durableId="234B464A"/>
  <w16cid:commentId w16cid:paraId="0F88CBCC" w16cid:durableId="234B464B"/>
  <w16cid:commentId w16cid:paraId="0DFF1765" w16cid:durableId="234B504A"/>
  <w16cid:commentId w16cid:paraId="0E313FB5" w16cid:durableId="234B464C"/>
  <w16cid:commentId w16cid:paraId="1265B735" w16cid:durableId="234B464D"/>
  <w16cid:commentId w16cid:paraId="6332256C" w16cid:durableId="234B464E"/>
  <w16cid:commentId w16cid:paraId="15D290C8" w16cid:durableId="234B464F"/>
  <w16cid:commentId w16cid:paraId="08F5358E" w16cid:durableId="234D1324"/>
  <w16cid:commentId w16cid:paraId="4A08F563" w16cid:durableId="234B4650"/>
  <w16cid:commentId w16cid:paraId="54BAC1A9" w16cid:durableId="234B51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22AFD" w14:textId="77777777" w:rsidR="0089553A" w:rsidRDefault="0089553A">
      <w:pPr>
        <w:spacing w:line="240" w:lineRule="auto"/>
      </w:pPr>
      <w:r>
        <w:separator/>
      </w:r>
    </w:p>
  </w:endnote>
  <w:endnote w:type="continuationSeparator" w:id="0">
    <w:p w14:paraId="06E93ACA" w14:textId="77777777" w:rsidR="0089553A" w:rsidRDefault="00895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Zawgyi-One">
    <w:altName w:val="Tahoma"/>
    <w:charset w:val="00"/>
    <w:family w:val="swiss"/>
    <w:pitch w:val="variable"/>
    <w:sig w:usb0="00000000"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E5B7B" w14:textId="77777777" w:rsidR="0089553A" w:rsidRDefault="0089553A">
      <w:pPr>
        <w:spacing w:line="240" w:lineRule="auto"/>
      </w:pPr>
      <w:r>
        <w:separator/>
      </w:r>
    </w:p>
  </w:footnote>
  <w:footnote w:type="continuationSeparator" w:id="0">
    <w:p w14:paraId="1292A6B7" w14:textId="77777777" w:rsidR="0089553A" w:rsidRDefault="008955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8A3"/>
    <w:multiLevelType w:val="multilevel"/>
    <w:tmpl w:val="D2CED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DC19EC"/>
    <w:multiLevelType w:val="multilevel"/>
    <w:tmpl w:val="609A8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07446B"/>
    <w:multiLevelType w:val="multilevel"/>
    <w:tmpl w:val="0414F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5F4A34"/>
    <w:multiLevelType w:val="hybridMultilevel"/>
    <w:tmpl w:val="ED50DF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CB12483"/>
    <w:multiLevelType w:val="multilevel"/>
    <w:tmpl w:val="DF02F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E16B6F"/>
    <w:multiLevelType w:val="multilevel"/>
    <w:tmpl w:val="8A601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8F5625"/>
    <w:multiLevelType w:val="multilevel"/>
    <w:tmpl w:val="3B8A7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D3796E"/>
    <w:multiLevelType w:val="multilevel"/>
    <w:tmpl w:val="9378E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CA5502"/>
    <w:multiLevelType w:val="multilevel"/>
    <w:tmpl w:val="DC80D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C11875"/>
    <w:multiLevelType w:val="multilevel"/>
    <w:tmpl w:val="E910C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AA7969"/>
    <w:multiLevelType w:val="multilevel"/>
    <w:tmpl w:val="E78A5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5C1D90"/>
    <w:multiLevelType w:val="multilevel"/>
    <w:tmpl w:val="A5901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937507D"/>
    <w:multiLevelType w:val="multilevel"/>
    <w:tmpl w:val="0A688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924CE7"/>
    <w:multiLevelType w:val="multilevel"/>
    <w:tmpl w:val="08365D72"/>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32116102"/>
    <w:multiLevelType w:val="multilevel"/>
    <w:tmpl w:val="C8528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CC079F"/>
    <w:multiLevelType w:val="multilevel"/>
    <w:tmpl w:val="3CF26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6F6663"/>
    <w:multiLevelType w:val="multilevel"/>
    <w:tmpl w:val="64847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5E6AA1"/>
    <w:multiLevelType w:val="multilevel"/>
    <w:tmpl w:val="CD2EE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C90F41"/>
    <w:multiLevelType w:val="multilevel"/>
    <w:tmpl w:val="D46A9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E37E33"/>
    <w:multiLevelType w:val="multilevel"/>
    <w:tmpl w:val="6ED43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8A649D"/>
    <w:multiLevelType w:val="multilevel"/>
    <w:tmpl w:val="2C9CA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E625641"/>
    <w:multiLevelType w:val="multilevel"/>
    <w:tmpl w:val="8FB23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22E6F1C"/>
    <w:multiLevelType w:val="multilevel"/>
    <w:tmpl w:val="9EA46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4534401"/>
    <w:multiLevelType w:val="multilevel"/>
    <w:tmpl w:val="4FC25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C2E101A"/>
    <w:multiLevelType w:val="multilevel"/>
    <w:tmpl w:val="B01CB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139148E"/>
    <w:multiLevelType w:val="multilevel"/>
    <w:tmpl w:val="8452A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C575FE"/>
    <w:multiLevelType w:val="multilevel"/>
    <w:tmpl w:val="C0A61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3D06EB1"/>
    <w:multiLevelType w:val="multilevel"/>
    <w:tmpl w:val="86E8D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85438F8"/>
    <w:multiLevelType w:val="multilevel"/>
    <w:tmpl w:val="901E7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E336777"/>
    <w:multiLevelType w:val="hybridMultilevel"/>
    <w:tmpl w:val="14A45F0A"/>
    <w:lvl w:ilvl="0" w:tplc="7A547CF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D80959"/>
    <w:multiLevelType w:val="hybridMultilevel"/>
    <w:tmpl w:val="E51297C2"/>
    <w:lvl w:ilvl="0" w:tplc="51766BF0">
      <w:start w:val="1"/>
      <w:numFmt w:val="bullet"/>
      <w:pStyle w:val="ListParagraph"/>
      <w:lvlText w:val=""/>
      <w:lvlJc w:val="left"/>
      <w:pPr>
        <w:ind w:left="1800" w:hanging="360"/>
      </w:pPr>
      <w:rPr>
        <w:rFonts w:ascii="Wingdings" w:hAnsi="Wingdings" w:hint="default"/>
        <w:color w:val="008080"/>
      </w:rPr>
    </w:lvl>
    <w:lvl w:ilvl="1" w:tplc="C6CCF5D8">
      <w:start w:val="1"/>
      <w:numFmt w:val="bullet"/>
      <w:lvlText w:val=""/>
      <w:lvlJc w:val="left"/>
      <w:pPr>
        <w:ind w:left="2520" w:hanging="360"/>
      </w:pPr>
      <w:rPr>
        <w:rFonts w:ascii="Wingdings 3" w:hAnsi="Wingdings 3" w:hint="default"/>
        <w:b w:val="0"/>
        <w:color w:val="008080"/>
        <w:sz w:val="22"/>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1" w15:restartNumberingAfterBreak="0">
    <w:nsid w:val="70AC4BD9"/>
    <w:multiLevelType w:val="multilevel"/>
    <w:tmpl w:val="36DE2A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4"/>
  </w:num>
  <w:num w:numId="3">
    <w:abstractNumId w:val="28"/>
  </w:num>
  <w:num w:numId="4">
    <w:abstractNumId w:val="1"/>
  </w:num>
  <w:num w:numId="5">
    <w:abstractNumId w:val="27"/>
  </w:num>
  <w:num w:numId="6">
    <w:abstractNumId w:val="14"/>
  </w:num>
  <w:num w:numId="7">
    <w:abstractNumId w:val="13"/>
  </w:num>
  <w:num w:numId="8">
    <w:abstractNumId w:val="11"/>
  </w:num>
  <w:num w:numId="9">
    <w:abstractNumId w:val="31"/>
  </w:num>
  <w:num w:numId="10">
    <w:abstractNumId w:val="7"/>
  </w:num>
  <w:num w:numId="11">
    <w:abstractNumId w:val="21"/>
  </w:num>
  <w:num w:numId="12">
    <w:abstractNumId w:val="12"/>
  </w:num>
  <w:num w:numId="13">
    <w:abstractNumId w:val="15"/>
  </w:num>
  <w:num w:numId="14">
    <w:abstractNumId w:val="10"/>
  </w:num>
  <w:num w:numId="15">
    <w:abstractNumId w:val="23"/>
  </w:num>
  <w:num w:numId="16">
    <w:abstractNumId w:val="0"/>
  </w:num>
  <w:num w:numId="17">
    <w:abstractNumId w:val="2"/>
  </w:num>
  <w:num w:numId="18">
    <w:abstractNumId w:val="24"/>
  </w:num>
  <w:num w:numId="19">
    <w:abstractNumId w:val="19"/>
  </w:num>
  <w:num w:numId="20">
    <w:abstractNumId w:val="18"/>
  </w:num>
  <w:num w:numId="21">
    <w:abstractNumId w:val="25"/>
  </w:num>
  <w:num w:numId="22">
    <w:abstractNumId w:val="26"/>
  </w:num>
  <w:num w:numId="23">
    <w:abstractNumId w:val="8"/>
  </w:num>
  <w:num w:numId="24">
    <w:abstractNumId w:val="6"/>
  </w:num>
  <w:num w:numId="25">
    <w:abstractNumId w:val="22"/>
  </w:num>
  <w:num w:numId="26">
    <w:abstractNumId w:val="20"/>
  </w:num>
  <w:num w:numId="27">
    <w:abstractNumId w:val="16"/>
  </w:num>
  <w:num w:numId="28">
    <w:abstractNumId w:val="5"/>
  </w:num>
  <w:num w:numId="29">
    <w:abstractNumId w:val="30"/>
  </w:num>
  <w:num w:numId="30">
    <w:abstractNumId w:val="29"/>
  </w:num>
  <w:num w:numId="31">
    <w:abstractNumId w:val="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02"/>
    <w:rsid w:val="00007557"/>
    <w:rsid w:val="000079E7"/>
    <w:rsid w:val="0002052E"/>
    <w:rsid w:val="00021E4A"/>
    <w:rsid w:val="00070060"/>
    <w:rsid w:val="000750AB"/>
    <w:rsid w:val="0009089B"/>
    <w:rsid w:val="0009132B"/>
    <w:rsid w:val="00091588"/>
    <w:rsid w:val="00092585"/>
    <w:rsid w:val="000B1D1F"/>
    <w:rsid w:val="000C6A85"/>
    <w:rsid w:val="000E7982"/>
    <w:rsid w:val="00133529"/>
    <w:rsid w:val="00163C58"/>
    <w:rsid w:val="00170788"/>
    <w:rsid w:val="0017462A"/>
    <w:rsid w:val="001841E9"/>
    <w:rsid w:val="00191378"/>
    <w:rsid w:val="001916F1"/>
    <w:rsid w:val="001A646C"/>
    <w:rsid w:val="001B6EFE"/>
    <w:rsid w:val="001B70B3"/>
    <w:rsid w:val="001D7DF9"/>
    <w:rsid w:val="00207686"/>
    <w:rsid w:val="00220A22"/>
    <w:rsid w:val="00227DB9"/>
    <w:rsid w:val="002308B1"/>
    <w:rsid w:val="00243DAF"/>
    <w:rsid w:val="002627B6"/>
    <w:rsid w:val="0027555D"/>
    <w:rsid w:val="0028097F"/>
    <w:rsid w:val="002966E7"/>
    <w:rsid w:val="002B5E5C"/>
    <w:rsid w:val="002D2BD6"/>
    <w:rsid w:val="002D615A"/>
    <w:rsid w:val="002D6DC9"/>
    <w:rsid w:val="002D74A2"/>
    <w:rsid w:val="00302443"/>
    <w:rsid w:val="00302576"/>
    <w:rsid w:val="0031123C"/>
    <w:rsid w:val="003243D2"/>
    <w:rsid w:val="00345878"/>
    <w:rsid w:val="00352830"/>
    <w:rsid w:val="003545FD"/>
    <w:rsid w:val="00355305"/>
    <w:rsid w:val="003648EC"/>
    <w:rsid w:val="0039143F"/>
    <w:rsid w:val="00391CED"/>
    <w:rsid w:val="003B41FA"/>
    <w:rsid w:val="004073A3"/>
    <w:rsid w:val="004128CB"/>
    <w:rsid w:val="00415B56"/>
    <w:rsid w:val="004301C8"/>
    <w:rsid w:val="00442DC0"/>
    <w:rsid w:val="004813F0"/>
    <w:rsid w:val="00487C6D"/>
    <w:rsid w:val="004A225E"/>
    <w:rsid w:val="004A72BC"/>
    <w:rsid w:val="004E2F97"/>
    <w:rsid w:val="004E31D8"/>
    <w:rsid w:val="004E47BA"/>
    <w:rsid w:val="004E651D"/>
    <w:rsid w:val="00500A00"/>
    <w:rsid w:val="005032CD"/>
    <w:rsid w:val="00515273"/>
    <w:rsid w:val="00530D0E"/>
    <w:rsid w:val="00541C88"/>
    <w:rsid w:val="00544C9A"/>
    <w:rsid w:val="00544F81"/>
    <w:rsid w:val="0054693F"/>
    <w:rsid w:val="00552782"/>
    <w:rsid w:val="0056456B"/>
    <w:rsid w:val="00571B7A"/>
    <w:rsid w:val="005720A3"/>
    <w:rsid w:val="00572414"/>
    <w:rsid w:val="005810C5"/>
    <w:rsid w:val="005C24E2"/>
    <w:rsid w:val="005C34FE"/>
    <w:rsid w:val="005E7B06"/>
    <w:rsid w:val="005F1704"/>
    <w:rsid w:val="005F60CB"/>
    <w:rsid w:val="0060209A"/>
    <w:rsid w:val="006071A8"/>
    <w:rsid w:val="00611A86"/>
    <w:rsid w:val="00634A9D"/>
    <w:rsid w:val="00641CF3"/>
    <w:rsid w:val="00653296"/>
    <w:rsid w:val="00656242"/>
    <w:rsid w:val="006626D5"/>
    <w:rsid w:val="00664574"/>
    <w:rsid w:val="00691D2D"/>
    <w:rsid w:val="006B1EB6"/>
    <w:rsid w:val="006C35EB"/>
    <w:rsid w:val="006C56CA"/>
    <w:rsid w:val="007118D3"/>
    <w:rsid w:val="00715175"/>
    <w:rsid w:val="00721611"/>
    <w:rsid w:val="00731A09"/>
    <w:rsid w:val="007369FC"/>
    <w:rsid w:val="00746397"/>
    <w:rsid w:val="0076746E"/>
    <w:rsid w:val="00782AA9"/>
    <w:rsid w:val="00784906"/>
    <w:rsid w:val="007961EC"/>
    <w:rsid w:val="007A0A73"/>
    <w:rsid w:val="007A217F"/>
    <w:rsid w:val="007A6E91"/>
    <w:rsid w:val="007B1E58"/>
    <w:rsid w:val="007B2F3A"/>
    <w:rsid w:val="007C5112"/>
    <w:rsid w:val="007E0E5A"/>
    <w:rsid w:val="0080589B"/>
    <w:rsid w:val="00813AFB"/>
    <w:rsid w:val="00815640"/>
    <w:rsid w:val="00833DBA"/>
    <w:rsid w:val="00842D6A"/>
    <w:rsid w:val="00861EC8"/>
    <w:rsid w:val="008667BF"/>
    <w:rsid w:val="008828F9"/>
    <w:rsid w:val="00885EE1"/>
    <w:rsid w:val="008912E6"/>
    <w:rsid w:val="0089553A"/>
    <w:rsid w:val="008A084A"/>
    <w:rsid w:val="008F00B8"/>
    <w:rsid w:val="008F76E4"/>
    <w:rsid w:val="0091621F"/>
    <w:rsid w:val="00942728"/>
    <w:rsid w:val="00946D9C"/>
    <w:rsid w:val="00952F55"/>
    <w:rsid w:val="009A030D"/>
    <w:rsid w:val="009B59F6"/>
    <w:rsid w:val="009B77A9"/>
    <w:rsid w:val="009D2024"/>
    <w:rsid w:val="009F1D05"/>
    <w:rsid w:val="009F6357"/>
    <w:rsid w:val="00A04760"/>
    <w:rsid w:val="00A21D03"/>
    <w:rsid w:val="00A53502"/>
    <w:rsid w:val="00A64F6E"/>
    <w:rsid w:val="00A7193A"/>
    <w:rsid w:val="00A76246"/>
    <w:rsid w:val="00AA69C2"/>
    <w:rsid w:val="00AB35AD"/>
    <w:rsid w:val="00AD765D"/>
    <w:rsid w:val="00AF3EF4"/>
    <w:rsid w:val="00B13A4E"/>
    <w:rsid w:val="00B13C6B"/>
    <w:rsid w:val="00B40E8A"/>
    <w:rsid w:val="00B52712"/>
    <w:rsid w:val="00B90C45"/>
    <w:rsid w:val="00BA05D8"/>
    <w:rsid w:val="00BB79C5"/>
    <w:rsid w:val="00BE45AE"/>
    <w:rsid w:val="00C01D96"/>
    <w:rsid w:val="00C10B7E"/>
    <w:rsid w:val="00C30299"/>
    <w:rsid w:val="00C30DF1"/>
    <w:rsid w:val="00C436FB"/>
    <w:rsid w:val="00C45369"/>
    <w:rsid w:val="00C51E3E"/>
    <w:rsid w:val="00C92E11"/>
    <w:rsid w:val="00CD0D1F"/>
    <w:rsid w:val="00CD6C39"/>
    <w:rsid w:val="00CE2CAA"/>
    <w:rsid w:val="00CF1D0C"/>
    <w:rsid w:val="00CF3BEA"/>
    <w:rsid w:val="00D13D95"/>
    <w:rsid w:val="00D321DA"/>
    <w:rsid w:val="00D33952"/>
    <w:rsid w:val="00D47CC6"/>
    <w:rsid w:val="00D521B0"/>
    <w:rsid w:val="00D56FC9"/>
    <w:rsid w:val="00D765D7"/>
    <w:rsid w:val="00D82CC3"/>
    <w:rsid w:val="00D85C0D"/>
    <w:rsid w:val="00DB75FD"/>
    <w:rsid w:val="00DF63C8"/>
    <w:rsid w:val="00E076FB"/>
    <w:rsid w:val="00E135B5"/>
    <w:rsid w:val="00E23A99"/>
    <w:rsid w:val="00E41299"/>
    <w:rsid w:val="00E75729"/>
    <w:rsid w:val="00E834B9"/>
    <w:rsid w:val="00E866D8"/>
    <w:rsid w:val="00EB2BC3"/>
    <w:rsid w:val="00EC78DB"/>
    <w:rsid w:val="00ED3575"/>
    <w:rsid w:val="00EE1053"/>
    <w:rsid w:val="00F004C8"/>
    <w:rsid w:val="00F1140F"/>
    <w:rsid w:val="00F15DEE"/>
    <w:rsid w:val="00F315C4"/>
    <w:rsid w:val="00F53B4A"/>
    <w:rsid w:val="00F626DC"/>
    <w:rsid w:val="00F63402"/>
    <w:rsid w:val="00F75F59"/>
    <w:rsid w:val="00F774D7"/>
    <w:rsid w:val="00F77CAD"/>
    <w:rsid w:val="00F83D9E"/>
    <w:rsid w:val="00F845EB"/>
    <w:rsid w:val="00FA1A36"/>
    <w:rsid w:val="00FA2B89"/>
    <w:rsid w:val="00FC3603"/>
    <w:rsid w:val="00FD4F29"/>
    <w:rsid w:val="00FE3321"/>
    <w:rsid w:val="00FF5AF2"/>
    <w:rsid w:val="00FF6B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EE19"/>
  <w15:docId w15:val="{20997EB3-5D45-43B8-AFBE-70563106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17F"/>
  </w:style>
  <w:style w:type="paragraph" w:styleId="Heading1">
    <w:name w:val="heading 1"/>
    <w:basedOn w:val="Normal"/>
    <w:next w:val="Normal"/>
    <w:link w:val="Heading1Char"/>
    <w:uiPriority w:val="9"/>
    <w:qFormat/>
    <w:rsid w:val="00552782"/>
    <w:pPr>
      <w:keepNext/>
      <w:keepLines/>
      <w:spacing w:before="240" w:after="120" w:line="240" w:lineRule="auto"/>
      <w:ind w:left="432" w:hanging="432"/>
      <w:outlineLvl w:val="0"/>
    </w:pPr>
    <w:rPr>
      <w:b/>
      <w:color w:val="0067AB"/>
      <w:szCs w:val="28"/>
    </w:rPr>
  </w:style>
  <w:style w:type="paragraph" w:styleId="Heading2">
    <w:name w:val="heading 2"/>
    <w:basedOn w:val="Normal"/>
    <w:next w:val="Normal"/>
    <w:uiPriority w:val="9"/>
    <w:unhideWhenUsed/>
    <w:qFormat/>
    <w:rsid w:val="00552782"/>
    <w:pPr>
      <w:keepNext/>
      <w:spacing w:before="240" w:after="60"/>
      <w:outlineLvl w:val="1"/>
    </w:pPr>
    <w:rPr>
      <w:rFonts w:eastAsia="Calibri" w:cs="Calibri"/>
      <w:b/>
      <w:i/>
      <w:szCs w:val="28"/>
    </w:rPr>
  </w:style>
  <w:style w:type="paragraph" w:styleId="Heading3">
    <w:name w:val="heading 3"/>
    <w:basedOn w:val="Normal"/>
    <w:next w:val="Normal"/>
    <w:uiPriority w:val="9"/>
    <w:unhideWhenUsed/>
    <w:qFormat/>
    <w:rsid w:val="007A217F"/>
    <w:pPr>
      <w:keepNext/>
      <w:keepLines/>
      <w:spacing w:before="40"/>
      <w:outlineLvl w:val="2"/>
    </w:pPr>
    <w:rPr>
      <w:rFonts w:ascii="Calibri" w:eastAsia="Calibri" w:hAnsi="Calibri" w:cs="Calibri"/>
      <w:color w:val="1F3763"/>
    </w:rPr>
  </w:style>
  <w:style w:type="paragraph" w:styleId="Heading4">
    <w:name w:val="heading 4"/>
    <w:basedOn w:val="Normal"/>
    <w:next w:val="Normal"/>
    <w:uiPriority w:val="9"/>
    <w:semiHidden/>
    <w:unhideWhenUsed/>
    <w:qFormat/>
    <w:rsid w:val="007A217F"/>
    <w:pPr>
      <w:keepNext/>
      <w:keepLines/>
      <w:spacing w:before="240" w:after="40"/>
      <w:outlineLvl w:val="3"/>
    </w:pPr>
    <w:rPr>
      <w:b/>
    </w:rPr>
  </w:style>
  <w:style w:type="paragraph" w:styleId="Heading5">
    <w:name w:val="heading 5"/>
    <w:basedOn w:val="Normal"/>
    <w:next w:val="Normal"/>
    <w:uiPriority w:val="9"/>
    <w:semiHidden/>
    <w:unhideWhenUsed/>
    <w:qFormat/>
    <w:rsid w:val="007A217F"/>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7A217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A217F"/>
    <w:pPr>
      <w:spacing w:before="240" w:after="60"/>
      <w:jc w:val="center"/>
    </w:pPr>
    <w:rPr>
      <w:rFonts w:ascii="Calibri" w:eastAsia="Calibri" w:hAnsi="Calibri" w:cs="Calibri"/>
      <w:b/>
      <w:sz w:val="32"/>
      <w:szCs w:val="32"/>
    </w:rPr>
  </w:style>
  <w:style w:type="paragraph" w:styleId="Subtitle">
    <w:name w:val="Subtitle"/>
    <w:basedOn w:val="Normal"/>
    <w:next w:val="Normal"/>
    <w:uiPriority w:val="11"/>
    <w:qFormat/>
    <w:rsid w:val="007A217F"/>
    <w:pPr>
      <w:keepNext/>
      <w:keepLines/>
      <w:spacing w:before="360" w:after="80"/>
    </w:pPr>
    <w:rPr>
      <w:rFonts w:ascii="Georgia" w:eastAsia="Georgia" w:hAnsi="Georgia" w:cs="Georgia"/>
      <w:i/>
      <w:color w:val="666666"/>
      <w:sz w:val="48"/>
      <w:szCs w:val="48"/>
    </w:rPr>
  </w:style>
  <w:style w:type="table" w:customStyle="1" w:styleId="a">
    <w:basedOn w:val="TableNormal"/>
    <w:rsid w:val="007A217F"/>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391CED"/>
    <w:pPr>
      <w:spacing w:after="100"/>
    </w:pPr>
  </w:style>
  <w:style w:type="paragraph" w:styleId="TOC2">
    <w:name w:val="toc 2"/>
    <w:basedOn w:val="Normal"/>
    <w:next w:val="Normal"/>
    <w:autoRedefine/>
    <w:uiPriority w:val="39"/>
    <w:unhideWhenUsed/>
    <w:rsid w:val="00391CED"/>
    <w:pPr>
      <w:spacing w:after="100"/>
      <w:ind w:left="240"/>
    </w:pPr>
  </w:style>
  <w:style w:type="paragraph" w:styleId="TOC3">
    <w:name w:val="toc 3"/>
    <w:basedOn w:val="Normal"/>
    <w:next w:val="Normal"/>
    <w:autoRedefine/>
    <w:uiPriority w:val="39"/>
    <w:unhideWhenUsed/>
    <w:rsid w:val="00391CED"/>
    <w:pPr>
      <w:spacing w:after="100"/>
      <w:ind w:left="480"/>
    </w:pPr>
  </w:style>
  <w:style w:type="character" w:styleId="Hyperlink">
    <w:name w:val="Hyperlink"/>
    <w:basedOn w:val="DefaultParagraphFont"/>
    <w:uiPriority w:val="99"/>
    <w:unhideWhenUsed/>
    <w:rsid w:val="00391CED"/>
    <w:rPr>
      <w:color w:val="0000FF" w:themeColor="hyperlink"/>
      <w:u w:val="single"/>
    </w:rPr>
  </w:style>
  <w:style w:type="table" w:styleId="TableGrid">
    <w:name w:val="Table Grid"/>
    <w:basedOn w:val="TableNormal"/>
    <w:uiPriority w:val="39"/>
    <w:rsid w:val="001335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01D96"/>
    <w:rPr>
      <w:color w:val="605E5C"/>
      <w:shd w:val="clear" w:color="auto" w:fill="E1DFDD"/>
    </w:rPr>
  </w:style>
  <w:style w:type="character" w:styleId="FollowedHyperlink">
    <w:name w:val="FollowedHyperlink"/>
    <w:basedOn w:val="DefaultParagraphFont"/>
    <w:uiPriority w:val="99"/>
    <w:semiHidden/>
    <w:unhideWhenUsed/>
    <w:rsid w:val="00C01D96"/>
    <w:rPr>
      <w:color w:val="800080" w:themeColor="followedHyperlink"/>
      <w:u w:val="single"/>
    </w:rPr>
  </w:style>
  <w:style w:type="paragraph" w:styleId="BalloonText">
    <w:name w:val="Balloon Text"/>
    <w:basedOn w:val="Normal"/>
    <w:link w:val="BalloonTextChar"/>
    <w:uiPriority w:val="99"/>
    <w:semiHidden/>
    <w:unhideWhenUsed/>
    <w:rsid w:val="003024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443"/>
    <w:rPr>
      <w:rFonts w:ascii="Segoe UI" w:hAnsi="Segoe UI" w:cs="Segoe UI"/>
      <w:sz w:val="18"/>
      <w:szCs w:val="18"/>
    </w:rPr>
  </w:style>
  <w:style w:type="paragraph" w:styleId="ListParagraph">
    <w:name w:val="List Paragraph"/>
    <w:aliases w:val="List 1 Paragraph,References,List Paragraph1"/>
    <w:basedOn w:val="Normal"/>
    <w:link w:val="ListParagraphChar"/>
    <w:uiPriority w:val="34"/>
    <w:qFormat/>
    <w:rsid w:val="00A7193A"/>
    <w:pPr>
      <w:numPr>
        <w:numId w:val="29"/>
      </w:numPr>
      <w:autoSpaceDE w:val="0"/>
      <w:autoSpaceDN w:val="0"/>
      <w:adjustRightInd w:val="0"/>
      <w:spacing w:before="80" w:after="120" w:line="240" w:lineRule="auto"/>
      <w:ind w:right="158"/>
      <w:jc w:val="left"/>
    </w:pPr>
    <w:rPr>
      <w:rFonts w:ascii="Segoe UI" w:eastAsiaTheme="minorHAnsi" w:hAnsi="Segoe UI" w:cs="Zawgyi-One"/>
      <w:szCs w:val="22"/>
      <w:lang w:val="en-GB" w:bidi="km-KH"/>
    </w:rPr>
  </w:style>
  <w:style w:type="character" w:customStyle="1" w:styleId="ListParagraphChar">
    <w:name w:val="List Paragraph Char"/>
    <w:aliases w:val="List 1 Paragraph Char,References Char,List Paragraph1 Char"/>
    <w:basedOn w:val="DefaultParagraphFont"/>
    <w:link w:val="ListParagraph"/>
    <w:uiPriority w:val="34"/>
    <w:locked/>
    <w:rsid w:val="00A7193A"/>
    <w:rPr>
      <w:rFonts w:ascii="Segoe UI" w:eastAsiaTheme="minorHAnsi" w:hAnsi="Segoe UI" w:cs="Zawgyi-One"/>
      <w:szCs w:val="22"/>
      <w:lang w:val="en-GB" w:eastAsia="en-US" w:bidi="km-KH"/>
    </w:rPr>
  </w:style>
  <w:style w:type="paragraph" w:customStyle="1" w:styleId="xmsonormal">
    <w:name w:val="x_msonormal"/>
    <w:basedOn w:val="Normal"/>
    <w:rsid w:val="00A7193A"/>
    <w:pPr>
      <w:spacing w:before="100" w:beforeAutospacing="1" w:after="100" w:afterAutospacing="1" w:line="240" w:lineRule="auto"/>
      <w:jc w:val="left"/>
    </w:pPr>
  </w:style>
  <w:style w:type="character" w:styleId="CommentReference">
    <w:name w:val="annotation reference"/>
    <w:basedOn w:val="DefaultParagraphFont"/>
    <w:uiPriority w:val="99"/>
    <w:semiHidden/>
    <w:unhideWhenUsed/>
    <w:rsid w:val="00F774D7"/>
    <w:rPr>
      <w:sz w:val="16"/>
      <w:szCs w:val="16"/>
    </w:rPr>
  </w:style>
  <w:style w:type="paragraph" w:styleId="CommentText">
    <w:name w:val="annotation text"/>
    <w:basedOn w:val="Normal"/>
    <w:link w:val="CommentTextChar"/>
    <w:uiPriority w:val="99"/>
    <w:semiHidden/>
    <w:unhideWhenUsed/>
    <w:rsid w:val="00F774D7"/>
    <w:pPr>
      <w:spacing w:line="240" w:lineRule="auto"/>
    </w:pPr>
    <w:rPr>
      <w:sz w:val="20"/>
      <w:szCs w:val="20"/>
    </w:rPr>
  </w:style>
  <w:style w:type="character" w:customStyle="1" w:styleId="CommentTextChar">
    <w:name w:val="Comment Text Char"/>
    <w:basedOn w:val="DefaultParagraphFont"/>
    <w:link w:val="CommentText"/>
    <w:uiPriority w:val="99"/>
    <w:semiHidden/>
    <w:rsid w:val="00F774D7"/>
    <w:rPr>
      <w:sz w:val="20"/>
      <w:szCs w:val="20"/>
    </w:rPr>
  </w:style>
  <w:style w:type="paragraph" w:styleId="CommentSubject">
    <w:name w:val="annotation subject"/>
    <w:basedOn w:val="CommentText"/>
    <w:next w:val="CommentText"/>
    <w:link w:val="CommentSubjectChar"/>
    <w:uiPriority w:val="99"/>
    <w:semiHidden/>
    <w:unhideWhenUsed/>
    <w:rsid w:val="00F774D7"/>
    <w:rPr>
      <w:b/>
      <w:bCs/>
    </w:rPr>
  </w:style>
  <w:style w:type="character" w:customStyle="1" w:styleId="CommentSubjectChar">
    <w:name w:val="Comment Subject Char"/>
    <w:basedOn w:val="CommentTextChar"/>
    <w:link w:val="CommentSubject"/>
    <w:uiPriority w:val="99"/>
    <w:semiHidden/>
    <w:rsid w:val="00F774D7"/>
    <w:rPr>
      <w:b/>
      <w:bCs/>
      <w:sz w:val="20"/>
      <w:szCs w:val="20"/>
    </w:rPr>
  </w:style>
  <w:style w:type="character" w:customStyle="1" w:styleId="UnresolvedMention2">
    <w:name w:val="Unresolved Mention2"/>
    <w:basedOn w:val="DefaultParagraphFont"/>
    <w:uiPriority w:val="99"/>
    <w:semiHidden/>
    <w:unhideWhenUsed/>
    <w:rsid w:val="002D74A2"/>
    <w:rPr>
      <w:color w:val="605E5C"/>
      <w:shd w:val="clear" w:color="auto" w:fill="E1DFDD"/>
    </w:rPr>
  </w:style>
  <w:style w:type="paragraph" w:customStyle="1" w:styleId="yiv9297356655msonormal">
    <w:name w:val="yiv9297356655msonormal"/>
    <w:basedOn w:val="Normal"/>
    <w:rsid w:val="00163C58"/>
    <w:pPr>
      <w:spacing w:before="100" w:beforeAutospacing="1" w:after="100" w:afterAutospacing="1" w:line="240" w:lineRule="auto"/>
      <w:jc w:val="left"/>
    </w:pPr>
  </w:style>
  <w:style w:type="character" w:customStyle="1" w:styleId="UnresolvedMention">
    <w:name w:val="Unresolved Mention"/>
    <w:basedOn w:val="DefaultParagraphFont"/>
    <w:uiPriority w:val="99"/>
    <w:semiHidden/>
    <w:unhideWhenUsed/>
    <w:rsid w:val="00842D6A"/>
    <w:rPr>
      <w:color w:val="605E5C"/>
      <w:shd w:val="clear" w:color="auto" w:fill="E1DFDD"/>
    </w:rPr>
  </w:style>
  <w:style w:type="character" w:customStyle="1" w:styleId="Heading1Char">
    <w:name w:val="Heading 1 Char"/>
    <w:basedOn w:val="DefaultParagraphFont"/>
    <w:link w:val="Heading1"/>
    <w:uiPriority w:val="9"/>
    <w:rsid w:val="00AD765D"/>
    <w:rPr>
      <w:b/>
      <w:color w:val="0067A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8442">
      <w:bodyDiv w:val="1"/>
      <w:marLeft w:val="0"/>
      <w:marRight w:val="0"/>
      <w:marTop w:val="0"/>
      <w:marBottom w:val="0"/>
      <w:divBdr>
        <w:top w:val="none" w:sz="0" w:space="0" w:color="auto"/>
        <w:left w:val="none" w:sz="0" w:space="0" w:color="auto"/>
        <w:bottom w:val="none" w:sz="0" w:space="0" w:color="auto"/>
        <w:right w:val="none" w:sz="0" w:space="0" w:color="auto"/>
      </w:divBdr>
    </w:div>
    <w:div w:id="764808119">
      <w:bodyDiv w:val="1"/>
      <w:marLeft w:val="0"/>
      <w:marRight w:val="0"/>
      <w:marTop w:val="0"/>
      <w:marBottom w:val="0"/>
      <w:divBdr>
        <w:top w:val="none" w:sz="0" w:space="0" w:color="auto"/>
        <w:left w:val="none" w:sz="0" w:space="0" w:color="auto"/>
        <w:bottom w:val="none" w:sz="0" w:space="0" w:color="auto"/>
        <w:right w:val="none" w:sz="0" w:space="0" w:color="auto"/>
      </w:divBdr>
    </w:div>
    <w:div w:id="942809185">
      <w:bodyDiv w:val="1"/>
      <w:marLeft w:val="0"/>
      <w:marRight w:val="0"/>
      <w:marTop w:val="0"/>
      <w:marBottom w:val="0"/>
      <w:divBdr>
        <w:top w:val="none" w:sz="0" w:space="0" w:color="auto"/>
        <w:left w:val="none" w:sz="0" w:space="0" w:color="auto"/>
        <w:bottom w:val="none" w:sz="0" w:space="0" w:color="auto"/>
        <w:right w:val="none" w:sz="0" w:space="0" w:color="auto"/>
      </w:divBdr>
    </w:div>
    <w:div w:id="1248343505">
      <w:bodyDiv w:val="1"/>
      <w:marLeft w:val="0"/>
      <w:marRight w:val="0"/>
      <w:marTop w:val="0"/>
      <w:marBottom w:val="0"/>
      <w:divBdr>
        <w:top w:val="none" w:sz="0" w:space="0" w:color="auto"/>
        <w:left w:val="none" w:sz="0" w:space="0" w:color="auto"/>
        <w:bottom w:val="none" w:sz="0" w:space="0" w:color="auto"/>
        <w:right w:val="none" w:sz="0" w:space="0" w:color="auto"/>
      </w:divBdr>
    </w:div>
    <w:div w:id="1301420809">
      <w:bodyDiv w:val="1"/>
      <w:marLeft w:val="0"/>
      <w:marRight w:val="0"/>
      <w:marTop w:val="0"/>
      <w:marBottom w:val="0"/>
      <w:divBdr>
        <w:top w:val="none" w:sz="0" w:space="0" w:color="auto"/>
        <w:left w:val="none" w:sz="0" w:space="0" w:color="auto"/>
        <w:bottom w:val="none" w:sz="0" w:space="0" w:color="auto"/>
        <w:right w:val="none" w:sz="0" w:space="0" w:color="auto"/>
      </w:divBdr>
    </w:div>
    <w:div w:id="1358234365">
      <w:bodyDiv w:val="1"/>
      <w:marLeft w:val="0"/>
      <w:marRight w:val="0"/>
      <w:marTop w:val="0"/>
      <w:marBottom w:val="0"/>
      <w:divBdr>
        <w:top w:val="none" w:sz="0" w:space="0" w:color="auto"/>
        <w:left w:val="none" w:sz="0" w:space="0" w:color="auto"/>
        <w:bottom w:val="none" w:sz="0" w:space="0" w:color="auto"/>
        <w:right w:val="none" w:sz="0" w:space="0" w:color="auto"/>
      </w:divBdr>
    </w:div>
    <w:div w:id="1762025229">
      <w:bodyDiv w:val="1"/>
      <w:marLeft w:val="0"/>
      <w:marRight w:val="0"/>
      <w:marTop w:val="0"/>
      <w:marBottom w:val="0"/>
      <w:divBdr>
        <w:top w:val="none" w:sz="0" w:space="0" w:color="auto"/>
        <w:left w:val="none" w:sz="0" w:space="0" w:color="auto"/>
        <w:bottom w:val="none" w:sz="0" w:space="0" w:color="auto"/>
        <w:right w:val="none" w:sz="0" w:space="0" w:color="auto"/>
      </w:divBdr>
    </w:div>
    <w:div w:id="1819034110">
      <w:bodyDiv w:val="1"/>
      <w:marLeft w:val="0"/>
      <w:marRight w:val="0"/>
      <w:marTop w:val="0"/>
      <w:marBottom w:val="0"/>
      <w:divBdr>
        <w:top w:val="none" w:sz="0" w:space="0" w:color="auto"/>
        <w:left w:val="none" w:sz="0" w:space="0" w:color="auto"/>
        <w:bottom w:val="none" w:sz="0" w:space="0" w:color="auto"/>
        <w:right w:val="none" w:sz="0" w:space="0" w:color="auto"/>
      </w:divBdr>
    </w:div>
    <w:div w:id="1965309393">
      <w:bodyDiv w:val="1"/>
      <w:marLeft w:val="0"/>
      <w:marRight w:val="0"/>
      <w:marTop w:val="0"/>
      <w:marBottom w:val="0"/>
      <w:divBdr>
        <w:top w:val="none" w:sz="0" w:space="0" w:color="auto"/>
        <w:left w:val="none" w:sz="0" w:space="0" w:color="auto"/>
        <w:bottom w:val="none" w:sz="0" w:space="0" w:color="auto"/>
        <w:right w:val="none" w:sz="0" w:space="0" w:color="auto"/>
      </w:divBdr>
    </w:div>
    <w:div w:id="1974677643">
      <w:bodyDiv w:val="1"/>
      <w:marLeft w:val="0"/>
      <w:marRight w:val="0"/>
      <w:marTop w:val="0"/>
      <w:marBottom w:val="0"/>
      <w:divBdr>
        <w:top w:val="none" w:sz="0" w:space="0" w:color="auto"/>
        <w:left w:val="none" w:sz="0" w:space="0" w:color="auto"/>
        <w:bottom w:val="none" w:sz="0" w:space="0" w:color="auto"/>
        <w:right w:val="none" w:sz="0" w:space="0" w:color="auto"/>
      </w:divBdr>
      <w:divsChild>
        <w:div w:id="2138983651">
          <w:marLeft w:val="547"/>
          <w:marRight w:val="0"/>
          <w:marTop w:val="0"/>
          <w:marBottom w:val="0"/>
          <w:divBdr>
            <w:top w:val="none" w:sz="0" w:space="0" w:color="auto"/>
            <w:left w:val="none" w:sz="0" w:space="0" w:color="auto"/>
            <w:bottom w:val="none" w:sz="0" w:space="0" w:color="auto"/>
            <w:right w:val="none" w:sz="0" w:space="0" w:color="auto"/>
          </w:divBdr>
        </w:div>
        <w:div w:id="1214191814">
          <w:marLeft w:val="126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alariaconsortium.org/gallery-file/06170924-10-smc_covid19jobaid.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who.int/iris/handle/10665/40062" TargetMode="External"/><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4.png"/><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5589</Words>
  <Characters>31861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abimbola phillips</dc:creator>
  <cp:lastModifiedBy>MC</cp:lastModifiedBy>
  <cp:revision>2</cp:revision>
  <dcterms:created xsi:type="dcterms:W3CDTF">2021-07-30T14:35:00Z</dcterms:created>
  <dcterms:modified xsi:type="dcterms:W3CDTF">2021-07-30T14:35:00Z</dcterms:modified>
</cp:coreProperties>
</file>